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line="220" w:lineRule="atLeast"/>
        <w:jc w:val="center"/>
        <w:rPr>
          <w:rFonts w:hint="eastAsia" w:ascii="黑体" w:hAnsi="黑体" w:eastAsia="黑体" w:cs="黑体"/>
          <w:bCs/>
          <w:color w:val="000000"/>
          <w:sz w:val="24"/>
          <w:szCs w:val="24"/>
        </w:rPr>
      </w:pPr>
    </w:p>
    <w:p>
      <w:pPr>
        <w:spacing w:line="360" w:lineRule="auto"/>
        <w:jc w:val="center"/>
        <w:rPr>
          <w:rFonts w:hint="eastAsia" w:ascii="仿宋_GB2312" w:eastAsia="仿宋_GB2312"/>
          <w:color w:val="000000"/>
          <w:sz w:val="28"/>
        </w:rPr>
      </w:pPr>
    </w:p>
    <w:p>
      <w:pPr>
        <w:spacing w:line="360" w:lineRule="auto"/>
        <w:jc w:val="center"/>
        <w:rPr>
          <w:rFonts w:ascii="仿宋_GB2312" w:eastAsia="仿宋_GB2312"/>
          <w:color w:val="000000"/>
          <w:sz w:val="28"/>
        </w:rPr>
      </w:pPr>
    </w:p>
    <w:p>
      <w:pPr>
        <w:spacing w:line="360" w:lineRule="auto"/>
        <w:jc w:val="center"/>
        <w:rPr>
          <w:rFonts w:ascii="仿宋_GB2312" w:eastAsia="仿宋_GB2312"/>
          <w:color w:val="000000"/>
          <w:sz w:val="28"/>
        </w:rPr>
      </w:pPr>
    </w:p>
    <w:p>
      <w:pPr>
        <w:spacing w:line="360" w:lineRule="auto"/>
        <w:jc w:val="center"/>
        <w:rPr>
          <w:rFonts w:hint="default" w:ascii="Times New Roman" w:hAnsi="Times New Roman" w:eastAsia="楷体" w:cs="Times New Roman"/>
          <w:b/>
          <w:color w:val="000000"/>
          <w:sz w:val="44"/>
          <w:szCs w:val="44"/>
        </w:rPr>
      </w:pPr>
      <w:r>
        <w:rPr>
          <w:rFonts w:hint="default" w:ascii="Times New Roman" w:hAnsi="Times New Roman" w:eastAsia="楷体" w:cs="Times New Roman"/>
          <w:b/>
          <w:color w:val="000000"/>
          <w:sz w:val="44"/>
          <w:szCs w:val="44"/>
          <w:lang w:val="en-US" w:eastAsia="zh-CN"/>
        </w:rPr>
        <w:t>黄南州</w:t>
      </w:r>
      <w:r>
        <w:rPr>
          <w:rFonts w:hint="default" w:ascii="Times New Roman" w:hAnsi="Times New Roman" w:eastAsia="楷体" w:cs="Times New Roman"/>
          <w:b/>
          <w:color w:val="000000"/>
          <w:sz w:val="44"/>
          <w:szCs w:val="44"/>
        </w:rPr>
        <w:t>尖扎县</w:t>
      </w:r>
      <w:r>
        <w:rPr>
          <w:rFonts w:hint="default" w:ascii="Times New Roman" w:hAnsi="Times New Roman" w:eastAsia="楷体" w:cs="Times New Roman"/>
          <w:b/>
          <w:color w:val="000000"/>
          <w:sz w:val="44"/>
          <w:szCs w:val="44"/>
          <w:lang w:val="en-US" w:eastAsia="zh-CN"/>
        </w:rPr>
        <w:t>措周乡</w:t>
      </w:r>
      <w:r>
        <w:rPr>
          <w:rFonts w:hint="default" w:ascii="Times New Roman" w:hAnsi="Times New Roman" w:eastAsia="楷体" w:cs="Times New Roman"/>
          <w:b/>
          <w:color w:val="000000"/>
          <w:sz w:val="44"/>
          <w:szCs w:val="44"/>
        </w:rPr>
        <w:t>净化水厂</w:t>
      </w:r>
      <w:r>
        <w:rPr>
          <w:rFonts w:hint="default" w:ascii="Times New Roman" w:hAnsi="Times New Roman" w:eastAsia="楷体" w:cs="Times New Roman"/>
          <w:b/>
          <w:color w:val="000000"/>
          <w:sz w:val="44"/>
          <w:szCs w:val="44"/>
          <w:lang w:val="en-US" w:eastAsia="zh-CN"/>
        </w:rPr>
        <w:t>建设项目</w:t>
      </w:r>
    </w:p>
    <w:p>
      <w:pPr>
        <w:spacing w:line="360" w:lineRule="auto"/>
        <w:jc w:val="center"/>
        <w:rPr>
          <w:rFonts w:hint="default" w:ascii="Times New Roman" w:hAnsi="Times New Roman" w:eastAsia="楷体" w:cs="Times New Roman"/>
          <w:color w:val="000000"/>
          <w:sz w:val="44"/>
          <w:szCs w:val="44"/>
        </w:rPr>
      </w:pPr>
      <w:r>
        <w:rPr>
          <w:rFonts w:hint="default" w:ascii="Times New Roman" w:hAnsi="Times New Roman" w:eastAsia="楷体" w:cs="Times New Roman"/>
          <w:b/>
          <w:color w:val="000000"/>
          <w:sz w:val="44"/>
          <w:szCs w:val="44"/>
        </w:rPr>
        <w:t>竣工环境保护验收监测报告表</w:t>
      </w:r>
    </w:p>
    <w:p>
      <w:pPr>
        <w:spacing w:line="360" w:lineRule="auto"/>
        <w:jc w:val="center"/>
        <w:rPr>
          <w:rFonts w:hint="default" w:ascii="Times New Roman" w:hAnsi="Times New Roman" w:eastAsia="仿宋_GB2312" w:cs="Times New Roman"/>
          <w:color w:val="000000"/>
          <w:sz w:val="28"/>
        </w:rPr>
      </w:pPr>
    </w:p>
    <w:p>
      <w:pPr>
        <w:jc w:val="center"/>
        <w:rPr>
          <w:rFonts w:hint="default" w:ascii="Times New Roman" w:hAnsi="Times New Roman" w:eastAsia="仿宋_GB2312" w:cs="Times New Roman"/>
          <w:color w:val="000000"/>
          <w:sz w:val="28"/>
        </w:rPr>
      </w:pPr>
    </w:p>
    <w:p>
      <w:pPr>
        <w:jc w:val="center"/>
        <w:rPr>
          <w:rFonts w:hint="default" w:ascii="Times New Roman" w:hAnsi="Times New Roman" w:eastAsia="仿宋_GB2312" w:cs="Times New Roman"/>
          <w:color w:val="000000"/>
          <w:sz w:val="28"/>
        </w:rPr>
      </w:pPr>
    </w:p>
    <w:p>
      <w:pPr>
        <w:jc w:val="center"/>
        <w:rPr>
          <w:rFonts w:hint="default" w:ascii="Times New Roman" w:hAnsi="Times New Roman" w:eastAsia="仿宋_GB2312" w:cs="Times New Roman"/>
          <w:color w:val="000000"/>
          <w:sz w:val="28"/>
        </w:rPr>
      </w:pPr>
    </w:p>
    <w:p>
      <w:pPr>
        <w:rPr>
          <w:rFonts w:hint="default" w:ascii="Times New Roman" w:hAnsi="Times New Roman" w:eastAsia="仿宋_GB2312" w:cs="Times New Roman"/>
          <w:color w:val="000000"/>
          <w:sz w:val="28"/>
        </w:rPr>
      </w:pPr>
    </w:p>
    <w:p>
      <w:pPr>
        <w:rPr>
          <w:rFonts w:hint="default" w:ascii="Times New Roman" w:hAnsi="Times New Roman" w:eastAsia="华文新魏" w:cs="Times New Roman"/>
          <w:color w:val="000000"/>
          <w:sz w:val="28"/>
          <w:szCs w:val="28"/>
        </w:rPr>
      </w:pPr>
    </w:p>
    <w:p>
      <w:pPr>
        <w:rPr>
          <w:rFonts w:hint="default" w:ascii="Times New Roman" w:hAnsi="Times New Roman" w:eastAsia="华文新魏" w:cs="Times New Roman"/>
          <w:color w:val="000000"/>
          <w:sz w:val="28"/>
          <w:szCs w:val="28"/>
        </w:rPr>
      </w:pPr>
    </w:p>
    <w:p>
      <w:pPr>
        <w:rPr>
          <w:rFonts w:hint="default" w:ascii="Times New Roman" w:hAnsi="Times New Roman" w:eastAsia="华文新魏" w:cs="Times New Roman"/>
          <w:color w:val="000000"/>
          <w:sz w:val="28"/>
          <w:szCs w:val="28"/>
        </w:rPr>
      </w:pPr>
    </w:p>
    <w:p>
      <w:pPr>
        <w:rPr>
          <w:rFonts w:hint="default" w:ascii="Times New Roman" w:hAnsi="Times New Roman" w:eastAsia="华文新魏" w:cs="Times New Roman"/>
          <w:color w:val="000000"/>
          <w:sz w:val="28"/>
          <w:szCs w:val="28"/>
        </w:rPr>
      </w:pPr>
    </w:p>
    <w:p>
      <w:pPr>
        <w:rPr>
          <w:rFonts w:hint="default" w:ascii="Times New Roman" w:hAnsi="Times New Roman" w:eastAsia="华文新魏" w:cs="Times New Roman"/>
          <w:color w:val="000000"/>
          <w:sz w:val="28"/>
          <w:szCs w:val="28"/>
        </w:rPr>
      </w:pPr>
    </w:p>
    <w:p>
      <w:pPr>
        <w:rPr>
          <w:rFonts w:hint="default" w:ascii="Times New Roman" w:hAnsi="Times New Roman" w:eastAsia="华文新魏" w:cs="Times New Roman"/>
          <w:color w:val="000000"/>
          <w:sz w:val="28"/>
          <w:szCs w:val="28"/>
        </w:rPr>
      </w:pPr>
    </w:p>
    <w:p>
      <w:pPr>
        <w:rPr>
          <w:rFonts w:hint="default" w:ascii="Times New Roman" w:hAnsi="Times New Roman" w:eastAsia="华文新魏" w:cs="Times New Roman"/>
          <w:color w:val="000000"/>
          <w:sz w:val="28"/>
          <w:szCs w:val="28"/>
        </w:rPr>
      </w:pPr>
    </w:p>
    <w:p>
      <w:pPr>
        <w:ind w:firstLine="2108" w:firstLineChars="700"/>
        <w:jc w:val="both"/>
        <w:rPr>
          <w:rFonts w:hint="default" w:ascii="Times New Roman" w:hAnsi="Times New Roman" w:eastAsia="楷体" w:cs="Times New Roman"/>
          <w:b/>
          <w:bCs/>
          <w:color w:val="000000"/>
          <w:sz w:val="30"/>
          <w:szCs w:val="30"/>
          <w:lang w:eastAsia="zh-CN"/>
        </w:rPr>
      </w:pPr>
      <w:r>
        <w:rPr>
          <w:rFonts w:hint="default" w:ascii="Times New Roman" w:hAnsi="Times New Roman" w:eastAsia="楷体" w:cs="Times New Roman"/>
          <w:b/>
          <w:bCs/>
          <w:color w:val="000000"/>
          <w:sz w:val="30"/>
          <w:szCs w:val="30"/>
        </w:rPr>
        <w:t>建设单位</w:t>
      </w:r>
      <w:r>
        <w:rPr>
          <w:rFonts w:hint="default" w:ascii="Times New Roman" w:hAnsi="Times New Roman" w:eastAsia="楷体" w:cs="Times New Roman"/>
          <w:b/>
          <w:bCs/>
          <w:color w:val="000000"/>
          <w:sz w:val="30"/>
          <w:szCs w:val="30"/>
          <w:lang w:eastAsia="zh-CN"/>
        </w:rPr>
        <w:t>：尖扎县水利局</w:t>
      </w:r>
    </w:p>
    <w:p>
      <w:pPr>
        <w:spacing w:line="360" w:lineRule="auto"/>
        <w:ind w:firstLine="2108" w:firstLineChars="700"/>
        <w:jc w:val="both"/>
        <w:rPr>
          <w:rFonts w:hint="default" w:ascii="Times New Roman" w:hAnsi="Times New Roman" w:eastAsia="楷体" w:cs="Times New Roman"/>
          <w:b/>
          <w:bCs/>
          <w:color w:val="000000"/>
          <w:sz w:val="30"/>
          <w:szCs w:val="30"/>
        </w:rPr>
      </w:pPr>
      <w:r>
        <w:rPr>
          <w:rFonts w:hint="default" w:ascii="Times New Roman" w:hAnsi="Times New Roman" w:eastAsia="楷体" w:cs="Times New Roman"/>
          <w:b/>
          <w:bCs/>
          <w:color w:val="000000"/>
          <w:sz w:val="30"/>
          <w:szCs w:val="30"/>
        </w:rPr>
        <w:t>编制单位：青海</w:t>
      </w:r>
      <w:r>
        <w:rPr>
          <w:rFonts w:hint="eastAsia" w:ascii="Times New Roman" w:hAnsi="Times New Roman" w:eastAsia="楷体" w:cs="Times New Roman"/>
          <w:b/>
          <w:bCs/>
          <w:color w:val="000000"/>
          <w:sz w:val="30"/>
          <w:szCs w:val="30"/>
          <w:lang w:val="en-US" w:eastAsia="zh-CN"/>
        </w:rPr>
        <w:t>惠宁生态环境科技</w:t>
      </w:r>
      <w:r>
        <w:rPr>
          <w:rFonts w:hint="default" w:ascii="Times New Roman" w:hAnsi="Times New Roman" w:eastAsia="楷体" w:cs="Times New Roman"/>
          <w:b/>
          <w:bCs/>
          <w:color w:val="000000"/>
          <w:sz w:val="30"/>
          <w:szCs w:val="30"/>
        </w:rPr>
        <w:t>有限公司</w:t>
      </w:r>
    </w:p>
    <w:p>
      <w:pPr>
        <w:jc w:val="center"/>
        <w:rPr>
          <w:rFonts w:hint="default" w:ascii="Times New Roman" w:hAnsi="Times New Roman" w:eastAsia="楷体" w:cs="Times New Roman"/>
          <w:b/>
          <w:bCs/>
          <w:color w:val="000000"/>
          <w:sz w:val="30"/>
          <w:szCs w:val="30"/>
        </w:rPr>
      </w:pPr>
      <w:r>
        <w:rPr>
          <w:rFonts w:hint="default" w:ascii="Times New Roman" w:hAnsi="Times New Roman" w:eastAsia="楷体" w:cs="Times New Roman"/>
          <w:b/>
          <w:bCs/>
          <w:color w:val="000000"/>
          <w:sz w:val="30"/>
          <w:szCs w:val="30"/>
          <w:lang w:val="en-US" w:eastAsia="zh-CN"/>
        </w:rPr>
        <w:t>202</w:t>
      </w:r>
      <w:r>
        <w:rPr>
          <w:rFonts w:hint="eastAsia" w:ascii="Times New Roman" w:hAnsi="Times New Roman" w:eastAsia="楷体" w:cs="Times New Roman"/>
          <w:b/>
          <w:bCs/>
          <w:color w:val="000000"/>
          <w:sz w:val="30"/>
          <w:szCs w:val="30"/>
          <w:lang w:val="en-US" w:eastAsia="zh-CN"/>
        </w:rPr>
        <w:t>3</w:t>
      </w:r>
      <w:r>
        <w:rPr>
          <w:rFonts w:hint="default" w:ascii="Times New Roman" w:hAnsi="Times New Roman" w:eastAsia="楷体" w:cs="Times New Roman"/>
          <w:b/>
          <w:bCs/>
          <w:color w:val="000000"/>
          <w:sz w:val="30"/>
          <w:szCs w:val="30"/>
        </w:rPr>
        <w:t>年</w:t>
      </w:r>
      <w:r>
        <w:rPr>
          <w:rFonts w:hint="eastAsia" w:ascii="Times New Roman" w:hAnsi="Times New Roman" w:eastAsia="楷体" w:cs="Times New Roman"/>
          <w:b/>
          <w:bCs/>
          <w:color w:val="000000"/>
          <w:sz w:val="30"/>
          <w:szCs w:val="30"/>
          <w:lang w:val="en-US" w:eastAsia="zh-CN"/>
        </w:rPr>
        <w:t>12</w:t>
      </w:r>
      <w:bookmarkStart w:id="0" w:name="_GoBack"/>
      <w:bookmarkEnd w:id="0"/>
      <w:r>
        <w:rPr>
          <w:rFonts w:hint="default" w:ascii="Times New Roman" w:hAnsi="Times New Roman" w:eastAsia="楷体" w:cs="Times New Roman"/>
          <w:b/>
          <w:bCs/>
          <w:color w:val="000000"/>
          <w:sz w:val="30"/>
          <w:szCs w:val="30"/>
        </w:rPr>
        <w:t>月</w:t>
      </w:r>
    </w:p>
    <w:p>
      <w:pPr>
        <w:jc w:val="both"/>
        <w:rPr>
          <w:rFonts w:hint="default" w:ascii="Times New Roman" w:hAnsi="Times New Roman" w:eastAsia="楷体" w:cs="Times New Roman"/>
          <w:b/>
          <w:bCs/>
          <w:color w:val="000000"/>
          <w:sz w:val="30"/>
          <w:szCs w:val="30"/>
          <w:lang w:eastAsia="zh-CN"/>
        </w:rPr>
      </w:pPr>
      <w:r>
        <w:rPr>
          <w:rFonts w:ascii="仿宋_GB2312" w:eastAsia="仿宋_GB2312"/>
          <w:color w:val="000000"/>
          <w:sz w:val="32"/>
        </w:rPr>
        <w:br w:type="page"/>
      </w:r>
      <w:r>
        <w:rPr>
          <w:rFonts w:hint="eastAsia" w:ascii="Times New Roman" w:hAnsi="Times New Roman" w:eastAsia="楷体" w:cs="Times New Roman"/>
          <w:b/>
          <w:bCs/>
          <w:color w:val="000000"/>
          <w:sz w:val="30"/>
          <w:szCs w:val="30"/>
          <w:lang w:eastAsia="zh-CN"/>
        </w:rPr>
        <w:t>建设单位法人代表</w:t>
      </w:r>
      <w:r>
        <w:rPr>
          <w:rFonts w:hint="default" w:ascii="Times New Roman" w:hAnsi="Times New Roman" w:eastAsia="楷体" w:cs="Times New Roman"/>
          <w:b/>
          <w:bCs/>
          <w:color w:val="000000"/>
          <w:sz w:val="30"/>
          <w:szCs w:val="30"/>
          <w:lang w:eastAsia="zh-CN"/>
        </w:rPr>
        <w:t>:周晓光</w:t>
      </w:r>
    </w:p>
    <w:p>
      <w:pPr>
        <w:jc w:val="both"/>
        <w:rPr>
          <w:rFonts w:hint="default" w:ascii="Times New Roman" w:hAnsi="Times New Roman" w:eastAsia="楷体" w:cs="Times New Roman"/>
          <w:b/>
          <w:bCs/>
          <w:color w:val="000000"/>
          <w:sz w:val="30"/>
          <w:szCs w:val="30"/>
          <w:lang w:eastAsia="zh-CN"/>
        </w:rPr>
      </w:pPr>
      <w:r>
        <w:rPr>
          <w:rFonts w:hint="eastAsia" w:ascii="Times New Roman" w:hAnsi="Times New Roman" w:eastAsia="楷体" w:cs="Times New Roman"/>
          <w:b/>
          <w:bCs/>
          <w:color w:val="000000"/>
          <w:sz w:val="30"/>
          <w:szCs w:val="30"/>
          <w:lang w:eastAsia="zh-CN"/>
        </w:rPr>
        <w:t>编制单位法人代表</w:t>
      </w:r>
      <w:r>
        <w:rPr>
          <w:rFonts w:hint="default" w:ascii="Times New Roman" w:hAnsi="Times New Roman" w:eastAsia="楷体" w:cs="Times New Roman"/>
          <w:b/>
          <w:bCs/>
          <w:color w:val="000000"/>
          <w:sz w:val="30"/>
          <w:szCs w:val="30"/>
          <w:lang w:eastAsia="zh-CN"/>
        </w:rPr>
        <w:t>:</w:t>
      </w:r>
      <w:r>
        <w:rPr>
          <w:rFonts w:hint="eastAsia" w:ascii="Times New Roman" w:hAnsi="Times New Roman" w:eastAsia="楷体" w:cs="Times New Roman"/>
          <w:b/>
          <w:bCs/>
          <w:color w:val="000000"/>
          <w:sz w:val="30"/>
          <w:szCs w:val="30"/>
          <w:lang w:val="en-US" w:eastAsia="zh-CN"/>
        </w:rPr>
        <w:t>段生祥</w:t>
      </w:r>
    </w:p>
    <w:p>
      <w:pPr>
        <w:jc w:val="both"/>
        <w:rPr>
          <w:rFonts w:hint="default" w:ascii="Times New Roman" w:hAnsi="Times New Roman" w:eastAsia="楷体" w:cs="Times New Roman"/>
          <w:b/>
          <w:bCs/>
          <w:color w:val="000000"/>
          <w:sz w:val="30"/>
          <w:szCs w:val="30"/>
          <w:lang w:eastAsia="zh-CN"/>
        </w:rPr>
      </w:pPr>
      <w:r>
        <w:rPr>
          <w:rFonts w:hint="eastAsia" w:ascii="Times New Roman" w:hAnsi="Times New Roman" w:eastAsia="楷体" w:cs="Times New Roman"/>
          <w:b/>
          <w:bCs/>
          <w:color w:val="000000"/>
          <w:sz w:val="30"/>
          <w:szCs w:val="30"/>
          <w:lang w:eastAsia="zh-CN"/>
        </w:rPr>
        <w:t>项目负责人</w:t>
      </w:r>
      <w:r>
        <w:rPr>
          <w:rFonts w:hint="default" w:ascii="Times New Roman" w:hAnsi="Times New Roman" w:eastAsia="楷体" w:cs="Times New Roman"/>
          <w:b/>
          <w:bCs/>
          <w:color w:val="000000"/>
          <w:sz w:val="30"/>
          <w:szCs w:val="30"/>
          <w:lang w:eastAsia="zh-CN"/>
        </w:rPr>
        <w:t>:冯建明</w:t>
      </w:r>
    </w:p>
    <w:p>
      <w:pPr>
        <w:jc w:val="both"/>
        <w:rPr>
          <w:rFonts w:hint="default" w:ascii="Times New Roman" w:hAnsi="Times New Roman" w:eastAsia="楷体" w:cs="Times New Roman"/>
          <w:b/>
          <w:bCs/>
          <w:color w:val="000000"/>
          <w:sz w:val="30"/>
          <w:szCs w:val="30"/>
          <w:lang w:val="en-US" w:eastAsia="zh-CN"/>
        </w:rPr>
      </w:pPr>
      <w:r>
        <w:rPr>
          <w:rFonts w:hint="eastAsia" w:ascii="Times New Roman" w:hAnsi="Times New Roman" w:eastAsia="楷体" w:cs="Times New Roman"/>
          <w:b/>
          <w:bCs/>
          <w:color w:val="000000"/>
          <w:sz w:val="30"/>
          <w:szCs w:val="30"/>
          <w:lang w:eastAsia="zh-CN"/>
        </w:rPr>
        <w:t>填表人：</w:t>
      </w:r>
    </w:p>
    <w:p>
      <w:pPr>
        <w:jc w:val="both"/>
        <w:rPr>
          <w:rFonts w:hint="eastAsia" w:ascii="Times New Roman" w:hAnsi="Times New Roman" w:eastAsia="楷体" w:cs="Times New Roman"/>
          <w:b/>
          <w:bCs/>
          <w:color w:val="000000"/>
          <w:sz w:val="30"/>
          <w:szCs w:val="30"/>
          <w:lang w:val="en-US" w:eastAsia="zh-CN"/>
        </w:rPr>
      </w:pPr>
    </w:p>
    <w:p>
      <w:pPr>
        <w:jc w:val="both"/>
        <w:rPr>
          <w:rFonts w:hint="eastAsia" w:ascii="Times New Roman" w:hAnsi="Times New Roman" w:eastAsia="楷体" w:cs="Times New Roman"/>
          <w:b/>
          <w:bCs/>
          <w:color w:val="000000"/>
          <w:sz w:val="30"/>
          <w:szCs w:val="30"/>
          <w:lang w:val="en-US" w:eastAsia="zh-CN"/>
        </w:rPr>
      </w:pPr>
    </w:p>
    <w:p>
      <w:pPr>
        <w:jc w:val="both"/>
        <w:rPr>
          <w:rFonts w:hint="eastAsia" w:ascii="Times New Roman" w:hAnsi="Times New Roman" w:eastAsia="楷体" w:cs="Times New Roman"/>
          <w:b/>
          <w:bCs/>
          <w:color w:val="000000"/>
          <w:sz w:val="30"/>
          <w:szCs w:val="30"/>
          <w:lang w:val="en-US" w:eastAsia="zh-CN"/>
        </w:rPr>
      </w:pPr>
    </w:p>
    <w:p>
      <w:pPr>
        <w:jc w:val="both"/>
        <w:rPr>
          <w:rFonts w:hint="eastAsia" w:ascii="Times New Roman" w:hAnsi="Times New Roman" w:eastAsia="楷体" w:cs="Times New Roman"/>
          <w:b/>
          <w:bCs/>
          <w:color w:val="000000"/>
          <w:sz w:val="30"/>
          <w:szCs w:val="30"/>
          <w:lang w:val="en-US" w:eastAsia="zh-CN"/>
        </w:rPr>
      </w:pPr>
    </w:p>
    <w:p>
      <w:pPr>
        <w:jc w:val="both"/>
        <w:rPr>
          <w:rFonts w:hint="eastAsia" w:ascii="Times New Roman" w:hAnsi="Times New Roman" w:eastAsia="楷体" w:cs="Times New Roman"/>
          <w:b/>
          <w:bCs/>
          <w:color w:val="000000"/>
          <w:sz w:val="30"/>
          <w:szCs w:val="30"/>
          <w:lang w:val="en-US" w:eastAsia="zh-CN"/>
        </w:rPr>
      </w:pPr>
    </w:p>
    <w:p>
      <w:pPr>
        <w:jc w:val="both"/>
        <w:rPr>
          <w:rFonts w:hint="eastAsia" w:ascii="Times New Roman" w:hAnsi="Times New Roman" w:eastAsia="楷体" w:cs="Times New Roman"/>
          <w:b/>
          <w:bCs/>
          <w:color w:val="000000"/>
          <w:sz w:val="30"/>
          <w:szCs w:val="30"/>
          <w:lang w:val="en-US" w:eastAsia="zh-CN"/>
        </w:rPr>
      </w:pPr>
    </w:p>
    <w:p>
      <w:pPr>
        <w:jc w:val="both"/>
        <w:rPr>
          <w:rFonts w:hint="eastAsia" w:ascii="Times New Roman" w:hAnsi="Times New Roman" w:eastAsia="楷体" w:cs="Times New Roman"/>
          <w:b/>
          <w:bCs/>
          <w:color w:val="000000"/>
          <w:sz w:val="30"/>
          <w:szCs w:val="30"/>
          <w:lang w:val="en-US" w:eastAsia="zh-CN"/>
        </w:rPr>
      </w:pPr>
    </w:p>
    <w:p>
      <w:pPr>
        <w:jc w:val="both"/>
        <w:rPr>
          <w:rFonts w:hint="eastAsia" w:ascii="Times New Roman" w:hAnsi="Times New Roman" w:eastAsia="楷体" w:cs="Times New Roman"/>
          <w:b/>
          <w:bCs/>
          <w:color w:val="000000"/>
          <w:sz w:val="30"/>
          <w:szCs w:val="30"/>
          <w:lang w:val="en-US" w:eastAsia="zh-CN"/>
        </w:rPr>
      </w:pPr>
    </w:p>
    <w:p>
      <w:pPr>
        <w:jc w:val="both"/>
        <w:rPr>
          <w:rFonts w:hint="eastAsia" w:ascii="Times New Roman" w:hAnsi="Times New Roman" w:eastAsia="楷体" w:cs="Times New Roman"/>
          <w:b/>
          <w:bCs/>
          <w:color w:val="000000"/>
          <w:sz w:val="30"/>
          <w:szCs w:val="30"/>
          <w:lang w:val="en-US" w:eastAsia="zh-CN"/>
        </w:rPr>
      </w:pPr>
    </w:p>
    <w:p>
      <w:pPr>
        <w:jc w:val="both"/>
        <w:rPr>
          <w:rFonts w:hint="eastAsia" w:ascii="Times New Roman" w:hAnsi="Times New Roman" w:eastAsia="楷体" w:cs="Times New Roman"/>
          <w:b/>
          <w:bCs/>
          <w:color w:val="000000"/>
          <w:sz w:val="30"/>
          <w:szCs w:val="30"/>
          <w:lang w:val="en-US" w:eastAsia="zh-CN"/>
        </w:rPr>
      </w:pPr>
    </w:p>
    <w:p>
      <w:pPr>
        <w:jc w:val="both"/>
        <w:rPr>
          <w:rFonts w:hint="eastAsia" w:ascii="Times New Roman" w:hAnsi="Times New Roman" w:eastAsia="楷体" w:cs="Times New Roman"/>
          <w:b/>
          <w:bCs/>
          <w:color w:val="000000"/>
          <w:sz w:val="30"/>
          <w:szCs w:val="30"/>
          <w:lang w:val="en-US" w:eastAsia="zh-CN"/>
        </w:rPr>
      </w:pPr>
    </w:p>
    <w:p>
      <w:pPr>
        <w:jc w:val="both"/>
        <w:rPr>
          <w:rFonts w:hint="eastAsia" w:ascii="Times New Roman" w:hAnsi="Times New Roman" w:eastAsia="楷体" w:cs="Times New Roman"/>
          <w:b/>
          <w:bCs/>
          <w:color w:val="000000"/>
          <w:sz w:val="30"/>
          <w:szCs w:val="30"/>
          <w:lang w:val="en-US" w:eastAsia="zh-CN"/>
        </w:rPr>
      </w:pPr>
    </w:p>
    <w:p>
      <w:pPr>
        <w:jc w:val="both"/>
        <w:rPr>
          <w:rFonts w:hint="eastAsia" w:ascii="Times New Roman" w:hAnsi="Times New Roman" w:eastAsia="楷体" w:cs="Times New Roman"/>
          <w:b/>
          <w:bCs/>
          <w:color w:val="000000"/>
          <w:sz w:val="30"/>
          <w:szCs w:val="30"/>
          <w:lang w:val="en-US" w:eastAsia="zh-CN"/>
        </w:rPr>
      </w:pPr>
    </w:p>
    <w:p>
      <w:pPr>
        <w:jc w:val="both"/>
        <w:rPr>
          <w:rFonts w:hint="eastAsia" w:ascii="Times New Roman" w:hAnsi="Times New Roman" w:eastAsia="楷体" w:cs="Times New Roman"/>
          <w:b/>
          <w:bCs/>
          <w:color w:val="000000"/>
          <w:sz w:val="30"/>
          <w:szCs w:val="30"/>
          <w:lang w:val="en-US" w:eastAsia="zh-CN"/>
        </w:rPr>
      </w:pPr>
    </w:p>
    <w:tbl>
      <w:tblPr>
        <w:tblStyle w:val="11"/>
        <w:tblW w:w="854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11"/>
        <w:gridCol w:w="2730"/>
        <w:gridCol w:w="1305"/>
        <w:gridCol w:w="31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0" w:hRule="atLeast"/>
          <w:jc w:val="center"/>
        </w:trPr>
        <w:tc>
          <w:tcPr>
            <w:tcW w:w="1311" w:type="dxa"/>
            <w:vAlign w:val="center"/>
          </w:tcPr>
          <w:p>
            <w:pPr>
              <w:widowControl w:val="0"/>
              <w:spacing w:after="0" w:line="240" w:lineRule="auto"/>
              <w:jc w:val="distribute"/>
              <w:rPr>
                <w:rFonts w:hint="default" w:ascii="Times New Roman" w:hAnsi="Times New Roman" w:eastAsia="楷体" w:cs="Times New Roman"/>
                <w:b w:val="0"/>
                <w:bCs w:val="0"/>
                <w:color w:val="000000"/>
                <w:sz w:val="24"/>
                <w:szCs w:val="24"/>
                <w:lang w:val="en-US" w:eastAsia="zh-CN"/>
              </w:rPr>
            </w:pPr>
            <w:r>
              <w:rPr>
                <w:rFonts w:hint="default" w:ascii="Times New Roman" w:hAnsi="Times New Roman" w:eastAsia="楷体" w:cs="Times New Roman"/>
                <w:b w:val="0"/>
                <w:bCs w:val="0"/>
                <w:color w:val="000000"/>
                <w:sz w:val="24"/>
                <w:szCs w:val="24"/>
                <w:lang w:val="en-US" w:eastAsia="zh-CN"/>
              </w:rPr>
              <w:t>建设单位：</w:t>
            </w:r>
          </w:p>
        </w:tc>
        <w:tc>
          <w:tcPr>
            <w:tcW w:w="2730" w:type="dxa"/>
            <w:vAlign w:val="center"/>
          </w:tcPr>
          <w:p>
            <w:pPr>
              <w:widowControl w:val="0"/>
              <w:spacing w:after="0" w:line="240" w:lineRule="auto"/>
              <w:jc w:val="center"/>
              <w:rPr>
                <w:rFonts w:hint="default" w:ascii="Times New Roman" w:hAnsi="Times New Roman" w:eastAsia="楷体" w:cs="Times New Roman"/>
                <w:b w:val="0"/>
                <w:bCs w:val="0"/>
                <w:color w:val="000000"/>
                <w:sz w:val="24"/>
                <w:szCs w:val="24"/>
                <w:lang w:val="en-US" w:eastAsia="zh-CN"/>
              </w:rPr>
            </w:pPr>
            <w:r>
              <w:rPr>
                <w:rFonts w:hint="default" w:ascii="Times New Roman" w:hAnsi="Times New Roman" w:eastAsia="楷体" w:cs="Times New Roman"/>
                <w:b w:val="0"/>
                <w:bCs w:val="0"/>
                <w:color w:val="000000"/>
                <w:sz w:val="24"/>
                <w:szCs w:val="24"/>
                <w:lang w:val="en-US" w:eastAsia="zh-CN"/>
              </w:rPr>
              <w:t>尖扎县水利局</w:t>
            </w:r>
          </w:p>
          <w:p>
            <w:pPr>
              <w:widowControl w:val="0"/>
              <w:spacing w:after="0" w:line="240" w:lineRule="auto"/>
              <w:jc w:val="center"/>
              <w:rPr>
                <w:rFonts w:hint="default" w:ascii="Times New Roman" w:hAnsi="Times New Roman" w:eastAsia="楷体" w:cs="Times New Roman"/>
                <w:b w:val="0"/>
                <w:bCs w:val="0"/>
                <w:color w:val="000000"/>
                <w:sz w:val="24"/>
                <w:szCs w:val="24"/>
                <w:lang w:val="en-US" w:eastAsia="zh-CN"/>
              </w:rPr>
            </w:pPr>
            <w:r>
              <w:rPr>
                <w:rFonts w:hint="default" w:ascii="Times New Roman" w:hAnsi="Times New Roman" w:eastAsia="楷体" w:cs="Times New Roman"/>
                <w:b w:val="0"/>
                <w:bCs w:val="0"/>
                <w:color w:val="000000"/>
                <w:sz w:val="24"/>
                <w:szCs w:val="24"/>
                <w:lang w:val="en-US" w:eastAsia="zh-CN"/>
              </w:rPr>
              <w:t>（盖章）</w:t>
            </w:r>
          </w:p>
        </w:tc>
        <w:tc>
          <w:tcPr>
            <w:tcW w:w="1305" w:type="dxa"/>
            <w:vAlign w:val="center"/>
          </w:tcPr>
          <w:p>
            <w:pPr>
              <w:widowControl w:val="0"/>
              <w:spacing w:after="0" w:line="240" w:lineRule="auto"/>
              <w:jc w:val="distribute"/>
              <w:rPr>
                <w:rFonts w:hint="default" w:ascii="Times New Roman" w:hAnsi="Times New Roman" w:eastAsia="楷体" w:cs="Times New Roman"/>
                <w:b w:val="0"/>
                <w:bCs w:val="0"/>
                <w:color w:val="000000"/>
                <w:sz w:val="24"/>
                <w:szCs w:val="24"/>
                <w:lang w:val="en-US" w:eastAsia="zh-CN"/>
              </w:rPr>
            </w:pPr>
            <w:r>
              <w:rPr>
                <w:rFonts w:hint="default" w:ascii="Times New Roman" w:hAnsi="Times New Roman" w:eastAsia="楷体" w:cs="Times New Roman"/>
                <w:b w:val="0"/>
                <w:bCs w:val="0"/>
                <w:color w:val="000000"/>
                <w:sz w:val="24"/>
                <w:szCs w:val="24"/>
                <w:lang w:val="en-US" w:eastAsia="zh-CN"/>
              </w:rPr>
              <w:t>编制单位：</w:t>
            </w:r>
          </w:p>
        </w:tc>
        <w:tc>
          <w:tcPr>
            <w:tcW w:w="3195" w:type="dxa"/>
            <w:vAlign w:val="center"/>
          </w:tcPr>
          <w:p>
            <w:pPr>
              <w:widowControl w:val="0"/>
              <w:spacing w:after="0" w:line="240" w:lineRule="auto"/>
              <w:jc w:val="center"/>
              <w:rPr>
                <w:rFonts w:hint="default" w:ascii="Times New Roman" w:hAnsi="Times New Roman" w:eastAsia="楷体" w:cs="Times New Roman"/>
                <w:b w:val="0"/>
                <w:bCs w:val="0"/>
                <w:color w:val="000000"/>
                <w:sz w:val="24"/>
                <w:szCs w:val="24"/>
                <w:lang w:val="en-US" w:eastAsia="zh-CN"/>
              </w:rPr>
            </w:pPr>
            <w:r>
              <w:rPr>
                <w:rFonts w:hint="default" w:ascii="Times New Roman" w:hAnsi="Times New Roman" w:eastAsia="楷体" w:cs="Times New Roman"/>
                <w:b w:val="0"/>
                <w:bCs w:val="0"/>
                <w:color w:val="000000"/>
                <w:sz w:val="24"/>
                <w:szCs w:val="24"/>
                <w:lang w:val="en-US" w:eastAsia="zh-CN"/>
              </w:rPr>
              <w:t>青海惠宁生态环境科技有限公司（盖章）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11" w:type="dxa"/>
            <w:vAlign w:val="center"/>
          </w:tcPr>
          <w:p>
            <w:pPr>
              <w:widowControl w:val="0"/>
              <w:spacing w:after="0" w:line="240" w:lineRule="auto"/>
              <w:jc w:val="distribute"/>
              <w:rPr>
                <w:rFonts w:hint="default" w:ascii="Times New Roman" w:hAnsi="Times New Roman" w:eastAsia="楷体" w:cs="Times New Roman"/>
                <w:b w:val="0"/>
                <w:bCs w:val="0"/>
                <w:color w:val="000000"/>
                <w:sz w:val="24"/>
                <w:szCs w:val="24"/>
                <w:lang w:val="en-US" w:eastAsia="zh-CN"/>
              </w:rPr>
            </w:pPr>
            <w:r>
              <w:rPr>
                <w:rFonts w:hint="default" w:ascii="Times New Roman" w:hAnsi="Times New Roman" w:eastAsia="楷体" w:cs="Times New Roman"/>
                <w:b w:val="0"/>
                <w:bCs w:val="0"/>
                <w:color w:val="000000"/>
                <w:sz w:val="24"/>
                <w:szCs w:val="24"/>
                <w:lang w:val="en-US" w:eastAsia="zh-CN"/>
              </w:rPr>
              <w:t>联系电话：</w:t>
            </w:r>
          </w:p>
        </w:tc>
        <w:tc>
          <w:tcPr>
            <w:tcW w:w="2730" w:type="dxa"/>
            <w:vAlign w:val="center"/>
          </w:tcPr>
          <w:p>
            <w:pPr>
              <w:widowControl w:val="0"/>
              <w:spacing w:after="0" w:line="240" w:lineRule="auto"/>
              <w:jc w:val="center"/>
              <w:rPr>
                <w:rFonts w:hint="default" w:ascii="Times New Roman" w:hAnsi="Times New Roman" w:eastAsia="楷体" w:cs="Times New Roman"/>
                <w:b w:val="0"/>
                <w:bCs w:val="0"/>
                <w:color w:val="000000"/>
                <w:sz w:val="24"/>
                <w:szCs w:val="24"/>
                <w:lang w:val="en-US" w:eastAsia="zh-CN"/>
              </w:rPr>
            </w:pPr>
            <w:r>
              <w:rPr>
                <w:rFonts w:hint="default" w:ascii="Times New Roman" w:hAnsi="Times New Roman" w:eastAsia="楷体" w:cs="Times New Roman"/>
                <w:b w:val="0"/>
                <w:bCs w:val="0"/>
                <w:color w:val="000000"/>
                <w:sz w:val="24"/>
                <w:szCs w:val="24"/>
                <w:lang w:val="en-US" w:eastAsia="zh-CN"/>
              </w:rPr>
              <w:t>18609738756</w:t>
            </w:r>
          </w:p>
        </w:tc>
        <w:tc>
          <w:tcPr>
            <w:tcW w:w="1305" w:type="dxa"/>
            <w:vAlign w:val="center"/>
          </w:tcPr>
          <w:p>
            <w:pPr>
              <w:widowControl w:val="0"/>
              <w:spacing w:after="0" w:line="240" w:lineRule="auto"/>
              <w:jc w:val="distribute"/>
              <w:rPr>
                <w:rFonts w:hint="default" w:ascii="Times New Roman" w:hAnsi="Times New Roman" w:eastAsia="楷体" w:cs="Times New Roman"/>
                <w:b w:val="0"/>
                <w:bCs w:val="0"/>
                <w:color w:val="000000"/>
                <w:sz w:val="24"/>
                <w:szCs w:val="24"/>
                <w:lang w:val="en-US" w:eastAsia="zh-CN"/>
              </w:rPr>
            </w:pPr>
            <w:r>
              <w:rPr>
                <w:rFonts w:hint="default" w:ascii="Times New Roman" w:hAnsi="Times New Roman" w:eastAsia="楷体" w:cs="Times New Roman"/>
                <w:b w:val="0"/>
                <w:bCs w:val="0"/>
                <w:color w:val="000000"/>
                <w:sz w:val="24"/>
                <w:szCs w:val="24"/>
                <w:lang w:val="en-US" w:eastAsia="zh-CN"/>
              </w:rPr>
              <w:t>联系电话：</w:t>
            </w:r>
          </w:p>
        </w:tc>
        <w:tc>
          <w:tcPr>
            <w:tcW w:w="3195" w:type="dxa"/>
            <w:vAlign w:val="center"/>
          </w:tcPr>
          <w:p>
            <w:pPr>
              <w:widowControl w:val="0"/>
              <w:spacing w:after="0" w:line="240" w:lineRule="auto"/>
              <w:jc w:val="center"/>
              <w:rPr>
                <w:rFonts w:hint="default" w:ascii="Times New Roman" w:hAnsi="Times New Roman" w:eastAsia="楷体" w:cs="Times New Roman"/>
                <w:b w:val="0"/>
                <w:bCs w:val="0"/>
                <w:color w:val="000000"/>
                <w:sz w:val="24"/>
                <w:szCs w:val="24"/>
                <w:lang w:val="en-US" w:eastAsia="zh-CN"/>
              </w:rPr>
            </w:pPr>
            <w:r>
              <w:rPr>
                <w:rFonts w:hint="eastAsia" w:ascii="Times New Roman" w:hAnsi="Times New Roman" w:eastAsia="楷体" w:cs="Times New Roman"/>
                <w:b w:val="0"/>
                <w:bCs w:val="0"/>
                <w:color w:val="000000"/>
                <w:sz w:val="24"/>
                <w:szCs w:val="24"/>
                <w:lang w:val="en-US" w:eastAsia="zh-CN"/>
              </w:rPr>
              <w:t>15500552428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11" w:type="dxa"/>
            <w:vAlign w:val="center"/>
          </w:tcPr>
          <w:p>
            <w:pPr>
              <w:widowControl w:val="0"/>
              <w:spacing w:after="0" w:line="240" w:lineRule="auto"/>
              <w:jc w:val="distribute"/>
              <w:rPr>
                <w:rFonts w:hint="default" w:ascii="Times New Roman" w:hAnsi="Times New Roman" w:eastAsia="楷体" w:cs="Times New Roman"/>
                <w:b w:val="0"/>
                <w:bCs w:val="0"/>
                <w:color w:val="000000"/>
                <w:sz w:val="24"/>
                <w:szCs w:val="24"/>
                <w:lang w:val="en-US" w:eastAsia="zh-CN"/>
              </w:rPr>
            </w:pPr>
            <w:r>
              <w:rPr>
                <w:rFonts w:hint="default" w:ascii="Times New Roman" w:hAnsi="Times New Roman" w:eastAsia="楷体" w:cs="Times New Roman"/>
                <w:b w:val="0"/>
                <w:bCs w:val="0"/>
                <w:color w:val="000000"/>
                <w:sz w:val="24"/>
                <w:szCs w:val="24"/>
                <w:lang w:val="en-US" w:eastAsia="zh-CN"/>
              </w:rPr>
              <w:t>传真：</w:t>
            </w:r>
          </w:p>
        </w:tc>
        <w:tc>
          <w:tcPr>
            <w:tcW w:w="2730" w:type="dxa"/>
            <w:vAlign w:val="center"/>
          </w:tcPr>
          <w:p>
            <w:pPr>
              <w:widowControl w:val="0"/>
              <w:spacing w:after="0" w:line="240" w:lineRule="auto"/>
              <w:jc w:val="center"/>
              <w:rPr>
                <w:rFonts w:hint="default" w:ascii="Times New Roman" w:hAnsi="Times New Roman" w:eastAsia="楷体" w:cs="Times New Roman"/>
                <w:b w:val="0"/>
                <w:bCs w:val="0"/>
                <w:color w:val="000000"/>
                <w:sz w:val="24"/>
                <w:szCs w:val="24"/>
                <w:lang w:val="en-US" w:eastAsia="zh-CN"/>
              </w:rPr>
            </w:pPr>
          </w:p>
        </w:tc>
        <w:tc>
          <w:tcPr>
            <w:tcW w:w="1305" w:type="dxa"/>
            <w:vAlign w:val="center"/>
          </w:tcPr>
          <w:p>
            <w:pPr>
              <w:widowControl w:val="0"/>
              <w:spacing w:after="0" w:line="240" w:lineRule="auto"/>
              <w:jc w:val="distribute"/>
              <w:rPr>
                <w:rFonts w:hint="default" w:ascii="Times New Roman" w:hAnsi="Times New Roman" w:eastAsia="楷体" w:cs="Times New Roman"/>
                <w:b w:val="0"/>
                <w:bCs w:val="0"/>
                <w:color w:val="000000"/>
                <w:sz w:val="24"/>
                <w:szCs w:val="24"/>
                <w:lang w:val="en-US" w:eastAsia="zh-CN"/>
              </w:rPr>
            </w:pPr>
            <w:r>
              <w:rPr>
                <w:rFonts w:hint="default" w:ascii="Times New Roman" w:hAnsi="Times New Roman" w:eastAsia="楷体" w:cs="Times New Roman"/>
                <w:b w:val="0"/>
                <w:bCs w:val="0"/>
                <w:color w:val="000000"/>
                <w:sz w:val="24"/>
                <w:szCs w:val="24"/>
                <w:lang w:val="en-US" w:eastAsia="zh-CN"/>
              </w:rPr>
              <w:t>传真：</w:t>
            </w:r>
          </w:p>
        </w:tc>
        <w:tc>
          <w:tcPr>
            <w:tcW w:w="3195" w:type="dxa"/>
            <w:vAlign w:val="center"/>
          </w:tcPr>
          <w:p>
            <w:pPr>
              <w:widowControl w:val="0"/>
              <w:spacing w:after="0" w:line="240" w:lineRule="auto"/>
              <w:jc w:val="center"/>
              <w:rPr>
                <w:rFonts w:hint="default" w:ascii="Times New Roman" w:hAnsi="Times New Roman" w:eastAsia="楷体" w:cs="Times New Roman"/>
                <w:b w:val="0"/>
                <w:bCs w:val="0"/>
                <w:color w:val="000000"/>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11" w:type="dxa"/>
            <w:vAlign w:val="center"/>
          </w:tcPr>
          <w:p>
            <w:pPr>
              <w:widowControl w:val="0"/>
              <w:spacing w:after="0" w:line="240" w:lineRule="auto"/>
              <w:jc w:val="distribute"/>
              <w:rPr>
                <w:rFonts w:hint="default" w:ascii="Times New Roman" w:hAnsi="Times New Roman" w:eastAsia="楷体" w:cs="Times New Roman"/>
                <w:b w:val="0"/>
                <w:bCs w:val="0"/>
                <w:color w:val="000000"/>
                <w:sz w:val="24"/>
                <w:szCs w:val="24"/>
                <w:lang w:val="en-US" w:eastAsia="zh-CN"/>
              </w:rPr>
            </w:pPr>
            <w:r>
              <w:rPr>
                <w:rFonts w:hint="default" w:ascii="Times New Roman" w:hAnsi="Times New Roman" w:eastAsia="楷体" w:cs="Times New Roman"/>
                <w:b w:val="0"/>
                <w:bCs w:val="0"/>
                <w:color w:val="000000"/>
                <w:sz w:val="24"/>
                <w:szCs w:val="24"/>
                <w:lang w:val="en-US" w:eastAsia="zh-CN"/>
              </w:rPr>
              <w:t>邮编：</w:t>
            </w:r>
          </w:p>
        </w:tc>
        <w:tc>
          <w:tcPr>
            <w:tcW w:w="2730" w:type="dxa"/>
            <w:vAlign w:val="center"/>
          </w:tcPr>
          <w:p>
            <w:pPr>
              <w:widowControl w:val="0"/>
              <w:spacing w:after="0" w:line="240" w:lineRule="auto"/>
              <w:jc w:val="center"/>
              <w:rPr>
                <w:rFonts w:hint="default" w:ascii="Times New Roman" w:hAnsi="Times New Roman" w:eastAsia="楷体" w:cs="Times New Roman"/>
                <w:b w:val="0"/>
                <w:bCs w:val="0"/>
                <w:color w:val="000000"/>
                <w:sz w:val="24"/>
                <w:szCs w:val="24"/>
                <w:lang w:val="en-US" w:eastAsia="zh-CN"/>
              </w:rPr>
            </w:pPr>
            <w:r>
              <w:rPr>
                <w:rFonts w:hint="default" w:ascii="Times New Roman" w:hAnsi="Times New Roman" w:eastAsia="楷体" w:cs="Times New Roman"/>
                <w:b w:val="0"/>
                <w:bCs w:val="0"/>
                <w:color w:val="000000"/>
                <w:sz w:val="24"/>
                <w:szCs w:val="24"/>
                <w:lang w:val="en-US" w:eastAsia="zh-CN"/>
              </w:rPr>
              <w:t>81</w:t>
            </w:r>
            <w:r>
              <w:rPr>
                <w:rFonts w:hint="eastAsia" w:ascii="Times New Roman" w:hAnsi="Times New Roman" w:eastAsia="楷体" w:cs="Times New Roman"/>
                <w:b w:val="0"/>
                <w:bCs w:val="0"/>
                <w:color w:val="000000"/>
                <w:sz w:val="24"/>
                <w:szCs w:val="24"/>
                <w:lang w:val="en-US" w:eastAsia="zh-CN"/>
              </w:rPr>
              <w:t>1200</w:t>
            </w:r>
          </w:p>
        </w:tc>
        <w:tc>
          <w:tcPr>
            <w:tcW w:w="1305" w:type="dxa"/>
            <w:vAlign w:val="center"/>
          </w:tcPr>
          <w:p>
            <w:pPr>
              <w:widowControl w:val="0"/>
              <w:spacing w:after="0" w:line="240" w:lineRule="auto"/>
              <w:jc w:val="distribute"/>
              <w:rPr>
                <w:rFonts w:hint="default" w:ascii="Times New Roman" w:hAnsi="Times New Roman" w:eastAsia="楷体" w:cs="Times New Roman"/>
                <w:b w:val="0"/>
                <w:bCs w:val="0"/>
                <w:color w:val="000000"/>
                <w:sz w:val="24"/>
                <w:szCs w:val="24"/>
                <w:lang w:val="en-US" w:eastAsia="zh-CN"/>
              </w:rPr>
            </w:pPr>
            <w:r>
              <w:rPr>
                <w:rFonts w:hint="default" w:ascii="Times New Roman" w:hAnsi="Times New Roman" w:eastAsia="楷体" w:cs="Times New Roman"/>
                <w:b w:val="0"/>
                <w:bCs w:val="0"/>
                <w:color w:val="000000"/>
                <w:sz w:val="24"/>
                <w:szCs w:val="24"/>
                <w:lang w:val="en-US" w:eastAsia="zh-CN"/>
              </w:rPr>
              <w:t>邮编：</w:t>
            </w:r>
          </w:p>
        </w:tc>
        <w:tc>
          <w:tcPr>
            <w:tcW w:w="3195" w:type="dxa"/>
            <w:vAlign w:val="center"/>
          </w:tcPr>
          <w:p>
            <w:pPr>
              <w:widowControl w:val="0"/>
              <w:spacing w:after="0" w:line="240" w:lineRule="auto"/>
              <w:jc w:val="center"/>
              <w:rPr>
                <w:rFonts w:hint="default" w:ascii="Times New Roman" w:hAnsi="Times New Roman" w:eastAsia="楷体" w:cs="Times New Roman"/>
                <w:b w:val="0"/>
                <w:bCs w:val="0"/>
                <w:color w:val="000000"/>
                <w:sz w:val="24"/>
                <w:szCs w:val="24"/>
                <w:lang w:val="en-US" w:eastAsia="zh-CN"/>
              </w:rPr>
            </w:pPr>
            <w:r>
              <w:rPr>
                <w:rFonts w:hint="default" w:ascii="Times New Roman" w:hAnsi="Times New Roman" w:eastAsia="楷体" w:cs="Times New Roman"/>
                <w:b w:val="0"/>
                <w:bCs w:val="0"/>
                <w:color w:val="000000"/>
                <w:sz w:val="24"/>
                <w:szCs w:val="24"/>
                <w:lang w:val="en-US" w:eastAsia="zh-CN"/>
              </w:rPr>
              <w:t>810000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11" w:type="dxa"/>
            <w:vAlign w:val="center"/>
          </w:tcPr>
          <w:p>
            <w:pPr>
              <w:widowControl w:val="0"/>
              <w:spacing w:after="0" w:line="240" w:lineRule="auto"/>
              <w:jc w:val="distribute"/>
              <w:rPr>
                <w:rFonts w:hint="default" w:ascii="Times New Roman" w:hAnsi="Times New Roman" w:eastAsia="楷体" w:cs="Times New Roman"/>
                <w:b w:val="0"/>
                <w:bCs w:val="0"/>
                <w:color w:val="000000"/>
                <w:sz w:val="24"/>
                <w:szCs w:val="24"/>
                <w:lang w:val="en-US" w:eastAsia="zh-CN"/>
              </w:rPr>
            </w:pPr>
            <w:r>
              <w:rPr>
                <w:rFonts w:hint="default" w:ascii="Times New Roman" w:hAnsi="Times New Roman" w:eastAsia="楷体" w:cs="Times New Roman"/>
                <w:b w:val="0"/>
                <w:bCs w:val="0"/>
                <w:color w:val="000000"/>
                <w:sz w:val="24"/>
                <w:szCs w:val="24"/>
                <w:lang w:val="en-US" w:eastAsia="zh-CN"/>
              </w:rPr>
              <w:t>地址：</w:t>
            </w:r>
          </w:p>
        </w:tc>
        <w:tc>
          <w:tcPr>
            <w:tcW w:w="2730" w:type="dxa"/>
            <w:vAlign w:val="center"/>
          </w:tcPr>
          <w:p>
            <w:pPr>
              <w:widowControl w:val="0"/>
              <w:spacing w:after="0" w:line="240" w:lineRule="auto"/>
              <w:jc w:val="center"/>
              <w:rPr>
                <w:rFonts w:hint="default" w:ascii="Times New Roman" w:hAnsi="Times New Roman" w:eastAsia="楷体" w:cs="Times New Roman"/>
                <w:b w:val="0"/>
                <w:bCs w:val="0"/>
                <w:color w:val="000000"/>
                <w:sz w:val="24"/>
                <w:szCs w:val="24"/>
                <w:lang w:val="en-US" w:eastAsia="zh-CN"/>
              </w:rPr>
            </w:pPr>
            <w:r>
              <w:rPr>
                <w:rFonts w:hint="default" w:ascii="Times New Roman" w:hAnsi="Times New Roman" w:eastAsia="楷体" w:cs="Times New Roman"/>
                <w:b w:val="0"/>
                <w:bCs w:val="0"/>
                <w:color w:val="000000"/>
                <w:sz w:val="24"/>
                <w:szCs w:val="24"/>
                <w:lang w:val="en-US" w:eastAsia="zh-CN"/>
              </w:rPr>
              <w:t>青海省黄南州</w:t>
            </w:r>
            <w:r>
              <w:rPr>
                <w:rFonts w:hint="eastAsia" w:ascii="Times New Roman" w:hAnsi="Times New Roman" w:eastAsia="楷体" w:cs="Times New Roman"/>
                <w:b w:val="0"/>
                <w:bCs w:val="0"/>
                <w:color w:val="000000"/>
                <w:sz w:val="24"/>
                <w:szCs w:val="24"/>
                <w:lang w:val="en-US" w:eastAsia="zh-CN"/>
              </w:rPr>
              <w:t>尖扎县水利局</w:t>
            </w:r>
          </w:p>
        </w:tc>
        <w:tc>
          <w:tcPr>
            <w:tcW w:w="1305" w:type="dxa"/>
            <w:vAlign w:val="center"/>
          </w:tcPr>
          <w:p>
            <w:pPr>
              <w:widowControl w:val="0"/>
              <w:spacing w:after="0" w:line="240" w:lineRule="auto"/>
              <w:jc w:val="distribute"/>
              <w:rPr>
                <w:rFonts w:hint="default" w:ascii="Times New Roman" w:hAnsi="Times New Roman" w:eastAsia="楷体" w:cs="Times New Roman"/>
                <w:b w:val="0"/>
                <w:bCs w:val="0"/>
                <w:color w:val="000000"/>
                <w:sz w:val="24"/>
                <w:szCs w:val="24"/>
                <w:lang w:val="en-US" w:eastAsia="zh-CN"/>
              </w:rPr>
            </w:pPr>
            <w:r>
              <w:rPr>
                <w:rFonts w:hint="default" w:ascii="Times New Roman" w:hAnsi="Times New Roman" w:eastAsia="楷体" w:cs="Times New Roman"/>
                <w:b w:val="0"/>
                <w:bCs w:val="0"/>
                <w:color w:val="000000"/>
                <w:sz w:val="24"/>
                <w:szCs w:val="24"/>
                <w:lang w:val="en-US" w:eastAsia="zh-CN"/>
              </w:rPr>
              <w:t>地址：</w:t>
            </w:r>
          </w:p>
        </w:tc>
        <w:tc>
          <w:tcPr>
            <w:tcW w:w="3195" w:type="dxa"/>
            <w:vAlign w:val="center"/>
          </w:tcPr>
          <w:p>
            <w:pPr>
              <w:widowControl w:val="0"/>
              <w:spacing w:after="0" w:line="240" w:lineRule="auto"/>
              <w:jc w:val="center"/>
              <w:rPr>
                <w:rFonts w:hint="default" w:ascii="Times New Roman" w:hAnsi="Times New Roman" w:eastAsia="楷体" w:cs="Times New Roman"/>
                <w:b w:val="0"/>
                <w:bCs w:val="0"/>
                <w:color w:val="000000"/>
                <w:sz w:val="24"/>
                <w:szCs w:val="24"/>
                <w:lang w:val="en-US" w:eastAsia="zh-CN"/>
              </w:rPr>
            </w:pPr>
            <w:r>
              <w:rPr>
                <w:rFonts w:hint="default" w:ascii="Times New Roman" w:hAnsi="Times New Roman" w:eastAsia="楷体" w:cs="Times New Roman"/>
                <w:b w:val="0"/>
                <w:bCs w:val="0"/>
                <w:color w:val="000000"/>
                <w:sz w:val="24"/>
                <w:szCs w:val="24"/>
                <w:lang w:val="en-US" w:eastAsia="zh-CN"/>
              </w:rPr>
              <w:t>青海省</w:t>
            </w:r>
            <w:r>
              <w:rPr>
                <w:rFonts w:hint="eastAsia" w:ascii="Times New Roman" w:hAnsi="Times New Roman" w:eastAsia="楷体" w:cs="Times New Roman"/>
                <w:b w:val="0"/>
                <w:bCs w:val="0"/>
                <w:color w:val="000000"/>
                <w:sz w:val="24"/>
                <w:szCs w:val="24"/>
                <w:lang w:val="en-US" w:eastAsia="zh-CN"/>
              </w:rPr>
              <w:t>黄南州同仁市德合隆北路县水利局3号楼3单元312室</w:t>
            </w:r>
          </w:p>
        </w:tc>
      </w:tr>
    </w:tbl>
    <w:p>
      <w:pPr>
        <w:spacing w:line="360" w:lineRule="auto"/>
        <w:rPr>
          <w:rFonts w:ascii="仿宋_GB2312" w:eastAsia="仿宋_GB2312"/>
          <w:color w:val="000000"/>
          <w:sz w:val="28"/>
        </w:rPr>
      </w:pPr>
    </w:p>
    <w:p>
      <w:pPr>
        <w:spacing w:line="360" w:lineRule="auto"/>
        <w:rPr>
          <w:rFonts w:hAnsi="Arial" w:eastAsia="仿宋_GB2312"/>
          <w:color w:val="000000"/>
          <w:sz w:val="21"/>
          <w:szCs w:val="21"/>
        </w:rPr>
        <w:sectPr>
          <w:footerReference r:id="rId4" w:type="default"/>
          <w:pgSz w:w="11906" w:h="16838"/>
          <w:pgMar w:top="1440" w:right="1800" w:bottom="1440" w:left="1800" w:header="708" w:footer="708" w:gutter="0"/>
          <w:pgBorders>
            <w:top w:val="none" w:sz="0" w:space="0"/>
            <w:left w:val="none" w:sz="0" w:space="0"/>
            <w:bottom w:val="none" w:sz="0" w:space="0"/>
            <w:right w:val="none" w:sz="0" w:space="0"/>
          </w:pgBorders>
          <w:cols w:space="720" w:num="1"/>
          <w:docGrid w:linePitch="360" w:charSpace="0"/>
        </w:sectPr>
      </w:pPr>
    </w:p>
    <w:p>
      <w:pPr>
        <w:spacing w:after="0" w:afterLines="0" w:line="360" w:lineRule="auto"/>
        <w:rPr>
          <w:rFonts w:eastAsia="仿宋_GB2312"/>
          <w:b/>
          <w:color w:val="000000"/>
          <w:sz w:val="24"/>
          <w:szCs w:val="24"/>
        </w:rPr>
      </w:pPr>
      <w:r>
        <w:rPr>
          <w:rFonts w:hAnsi="Arial" w:eastAsia="仿宋_GB2312"/>
          <w:b/>
          <w:color w:val="000000"/>
          <w:sz w:val="24"/>
          <w:szCs w:val="24"/>
        </w:rPr>
        <w:t>表一</w:t>
      </w:r>
    </w:p>
    <w:tbl>
      <w:tblPr>
        <w:tblStyle w:val="10"/>
        <w:tblW w:w="892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2229"/>
        <w:gridCol w:w="2137"/>
        <w:gridCol w:w="988"/>
        <w:gridCol w:w="765"/>
        <w:gridCol w:w="103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70" w:type="dxa"/>
            <w:noWrap w:val="0"/>
            <w:vAlign w:val="center"/>
          </w:tcPr>
          <w:p>
            <w:pPr>
              <w:spacing w:after="0" w:afterLine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建设项目名称</w:t>
            </w:r>
          </w:p>
        </w:tc>
        <w:tc>
          <w:tcPr>
            <w:tcW w:w="7154" w:type="dxa"/>
            <w:gridSpan w:val="5"/>
            <w:noWrap w:val="0"/>
            <w:vAlign w:val="center"/>
          </w:tcPr>
          <w:p>
            <w:pPr>
              <w:spacing w:after="0" w:afterLine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val="en-US" w:eastAsia="zh-CN"/>
              </w:rPr>
              <w:t>黄南州尖扎县措周乡净化水厂建设项目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70" w:type="dxa"/>
            <w:noWrap w:val="0"/>
            <w:vAlign w:val="center"/>
          </w:tcPr>
          <w:p>
            <w:pPr>
              <w:spacing w:after="0" w:afterLine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建设单位名称</w:t>
            </w:r>
          </w:p>
        </w:tc>
        <w:tc>
          <w:tcPr>
            <w:tcW w:w="7154" w:type="dxa"/>
            <w:gridSpan w:val="5"/>
            <w:noWrap w:val="0"/>
            <w:vAlign w:val="center"/>
          </w:tcPr>
          <w:p>
            <w:pPr>
              <w:spacing w:after="0" w:afterLines="0"/>
              <w:jc w:val="center"/>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尖扎县水利局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70" w:type="dxa"/>
            <w:noWrap w:val="0"/>
            <w:vAlign w:val="center"/>
          </w:tcPr>
          <w:p>
            <w:pPr>
              <w:spacing w:after="0" w:afterLine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建设项目性质</w:t>
            </w:r>
          </w:p>
        </w:tc>
        <w:tc>
          <w:tcPr>
            <w:tcW w:w="7154" w:type="dxa"/>
            <w:gridSpan w:val="5"/>
            <w:noWrap w:val="0"/>
            <w:vAlign w:val="center"/>
          </w:tcPr>
          <w:p>
            <w:pPr>
              <w:spacing w:after="0" w:afterLine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sym w:font="Wingdings" w:char="00FE"/>
            </w:r>
            <w:r>
              <w:rPr>
                <w:rFonts w:hint="default" w:ascii="Times New Roman" w:hAnsi="Times New Roman" w:eastAsia="宋体" w:cs="Times New Roman"/>
                <w:color w:val="000000"/>
                <w:sz w:val="24"/>
                <w:szCs w:val="24"/>
              </w:rPr>
              <w:t xml:space="preserve">新建  </w:t>
            </w:r>
            <w:r>
              <w:rPr>
                <w:rFonts w:hint="default" w:ascii="Times New Roman" w:hAnsi="Times New Roman" w:eastAsia="宋体" w:cs="Times New Roman"/>
                <w:color w:val="000000"/>
                <w:sz w:val="24"/>
                <w:szCs w:val="24"/>
              </w:rPr>
              <w:sym w:font="Wingdings" w:char="00A8"/>
            </w:r>
            <w:r>
              <w:rPr>
                <w:rFonts w:hint="default" w:ascii="Times New Roman" w:hAnsi="Times New Roman" w:eastAsia="宋体" w:cs="Times New Roman"/>
                <w:color w:val="000000"/>
                <w:sz w:val="24"/>
                <w:szCs w:val="24"/>
              </w:rPr>
              <w:t xml:space="preserve">改扩建  </w:t>
            </w:r>
            <w:r>
              <w:rPr>
                <w:rFonts w:hint="default" w:ascii="Times New Roman" w:hAnsi="Times New Roman" w:eastAsia="宋体" w:cs="Times New Roman"/>
                <w:color w:val="000000"/>
                <w:sz w:val="24"/>
                <w:szCs w:val="24"/>
              </w:rPr>
              <w:sym w:font="Wingdings" w:char="00A8"/>
            </w:r>
            <w:r>
              <w:rPr>
                <w:rFonts w:hint="default" w:ascii="Times New Roman" w:hAnsi="Times New Roman" w:eastAsia="宋体" w:cs="Times New Roman"/>
                <w:color w:val="000000"/>
                <w:sz w:val="24"/>
                <w:szCs w:val="24"/>
              </w:rPr>
              <w:t xml:space="preserve">技改  </w:t>
            </w:r>
            <w:r>
              <w:rPr>
                <w:rFonts w:hint="default" w:ascii="Times New Roman" w:hAnsi="Times New Roman" w:eastAsia="宋体" w:cs="Times New Roman"/>
                <w:color w:val="000000"/>
                <w:sz w:val="24"/>
                <w:szCs w:val="24"/>
              </w:rPr>
              <w:sym w:font="Wingdings" w:char="00A8"/>
            </w:r>
            <w:r>
              <w:rPr>
                <w:rFonts w:hint="default" w:ascii="Times New Roman" w:hAnsi="Times New Roman" w:eastAsia="宋体" w:cs="Times New Roman"/>
                <w:color w:val="000000"/>
                <w:sz w:val="24"/>
                <w:szCs w:val="24"/>
              </w:rPr>
              <w:t>迁建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70" w:type="dxa"/>
            <w:noWrap w:val="0"/>
            <w:vAlign w:val="center"/>
          </w:tcPr>
          <w:p>
            <w:pPr>
              <w:spacing w:after="0" w:afterLine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建设地点</w:t>
            </w:r>
          </w:p>
        </w:tc>
        <w:tc>
          <w:tcPr>
            <w:tcW w:w="7154" w:type="dxa"/>
            <w:gridSpan w:val="5"/>
            <w:noWrap w:val="0"/>
            <w:vAlign w:val="center"/>
          </w:tcPr>
          <w:p>
            <w:pPr>
              <w:spacing w:after="0" w:afterLine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青海省黄南藏族自治州尖扎县</w:t>
            </w:r>
            <w:r>
              <w:rPr>
                <w:rFonts w:hint="default" w:ascii="Times New Roman" w:hAnsi="Times New Roman" w:eastAsia="宋体" w:cs="Times New Roman"/>
                <w:color w:val="000000"/>
                <w:sz w:val="24"/>
                <w:szCs w:val="24"/>
                <w:lang w:val="en-US" w:eastAsia="zh-CN"/>
              </w:rPr>
              <w:t>措周乡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70" w:type="dxa"/>
            <w:noWrap w:val="0"/>
            <w:vAlign w:val="center"/>
          </w:tcPr>
          <w:p>
            <w:pPr>
              <w:spacing w:after="0" w:afterLines="0"/>
              <w:jc w:val="center"/>
              <w:rPr>
                <w:rFonts w:hint="eastAsia" w:ascii="Times New Roman" w:hAnsi="Times New Roman" w:eastAsia="宋体" w:cs="Times New Roman"/>
                <w:color w:val="000000"/>
                <w:sz w:val="24"/>
                <w:szCs w:val="24"/>
                <w:lang w:eastAsia="zh-CN"/>
              </w:rPr>
            </w:pPr>
            <w:r>
              <w:rPr>
                <w:rFonts w:hint="eastAsia" w:ascii="Times New Roman" w:hAnsi="Times New Roman" w:eastAsia="宋体" w:cs="Times New Roman"/>
                <w:color w:val="000000"/>
                <w:sz w:val="24"/>
                <w:szCs w:val="24"/>
                <w:lang w:val="en-US" w:eastAsia="zh-CN"/>
              </w:rPr>
              <w:t>行业类别</w:t>
            </w:r>
          </w:p>
        </w:tc>
        <w:tc>
          <w:tcPr>
            <w:tcW w:w="7154" w:type="dxa"/>
            <w:gridSpan w:val="5"/>
            <w:noWrap w:val="0"/>
            <w:vAlign w:val="center"/>
          </w:tcPr>
          <w:p>
            <w:pPr>
              <w:spacing w:after="0" w:afterLine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D46 水的生产和供应业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70" w:type="dxa"/>
            <w:noWrap w:val="0"/>
            <w:vAlign w:val="center"/>
          </w:tcPr>
          <w:p>
            <w:pPr>
              <w:spacing w:after="0" w:afterLine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设计生产能力</w:t>
            </w:r>
          </w:p>
        </w:tc>
        <w:tc>
          <w:tcPr>
            <w:tcW w:w="7154" w:type="dxa"/>
            <w:gridSpan w:val="5"/>
            <w:noWrap w:val="0"/>
            <w:vAlign w:val="center"/>
          </w:tcPr>
          <w:p>
            <w:pPr>
              <w:spacing w:after="0" w:afterLines="0"/>
              <w:jc w:val="center"/>
              <w:rPr>
                <w:rFonts w:hint="default" w:ascii="Times New Roman" w:hAnsi="Times New Roman" w:eastAsia="宋体" w:cs="Times New Roman"/>
                <w:color w:val="000000"/>
                <w:sz w:val="24"/>
                <w:szCs w:val="24"/>
              </w:rPr>
            </w:pPr>
            <w:r>
              <w:rPr>
                <w:rFonts w:hint="eastAsia" w:ascii="宋体" w:hAnsi="宋体" w:eastAsia="宋体" w:cs="宋体"/>
                <w:sz w:val="24"/>
                <w:lang w:val="en-US" w:eastAsia="zh-CN"/>
              </w:rPr>
              <w:t>措</w:t>
            </w:r>
            <w:r>
              <w:rPr>
                <w:rFonts w:hint="default" w:ascii="宋体" w:hAnsi="宋体" w:eastAsia="宋体" w:cs="宋体"/>
                <w:sz w:val="24"/>
                <w:lang w:val="en-US" w:eastAsia="zh-CN"/>
              </w:rPr>
              <w:t>周乡</w:t>
            </w:r>
            <w:r>
              <w:rPr>
                <w:rFonts w:hint="default" w:ascii="Times New Roman" w:hAnsi="Times New Roman" w:eastAsia="宋体" w:cs="Times New Roman"/>
                <w:color w:val="000000"/>
                <w:sz w:val="24"/>
                <w:szCs w:val="24"/>
              </w:rPr>
              <w:t>净化水厂为</w:t>
            </w:r>
            <w:r>
              <w:rPr>
                <w:rFonts w:hint="eastAsia" w:ascii="Times New Roman" w:hAnsi="Times New Roman" w:eastAsia="宋体" w:cs="Times New Roman"/>
                <w:color w:val="000000"/>
                <w:sz w:val="24"/>
                <w:szCs w:val="24"/>
                <w:lang w:val="en-US" w:eastAsia="zh-CN"/>
              </w:rPr>
              <w:t>8</w:t>
            </w:r>
            <w:r>
              <w:rPr>
                <w:rFonts w:hint="default" w:ascii="Times New Roman" w:hAnsi="Times New Roman" w:eastAsia="宋体" w:cs="Times New Roman"/>
                <w:color w:val="000000"/>
                <w:sz w:val="24"/>
                <w:szCs w:val="24"/>
              </w:rPr>
              <w:t>00m</w:t>
            </w:r>
            <w:r>
              <w:rPr>
                <w:rFonts w:hint="default" w:ascii="Times New Roman" w:hAnsi="Times New Roman" w:eastAsia="宋体" w:cs="Times New Roman"/>
                <w:color w:val="000000"/>
                <w:sz w:val="24"/>
                <w:szCs w:val="24"/>
                <w:vertAlign w:val="superscript"/>
              </w:rPr>
              <w:t>3</w:t>
            </w:r>
            <w:r>
              <w:rPr>
                <w:rFonts w:hint="default" w:ascii="Times New Roman" w:hAnsi="Times New Roman" w:eastAsia="宋体" w:cs="Times New Roman"/>
                <w:color w:val="000000"/>
                <w:sz w:val="24"/>
                <w:szCs w:val="24"/>
              </w:rPr>
              <w:t>/d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70" w:type="dxa"/>
            <w:noWrap w:val="0"/>
            <w:vAlign w:val="center"/>
          </w:tcPr>
          <w:p>
            <w:pPr>
              <w:spacing w:after="0" w:afterLine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实际生产能力</w:t>
            </w:r>
          </w:p>
        </w:tc>
        <w:tc>
          <w:tcPr>
            <w:tcW w:w="7154" w:type="dxa"/>
            <w:gridSpan w:val="5"/>
            <w:noWrap w:val="0"/>
            <w:vAlign w:val="center"/>
          </w:tcPr>
          <w:p>
            <w:pPr>
              <w:spacing w:after="0" w:afterLines="0"/>
              <w:jc w:val="center"/>
              <w:rPr>
                <w:rFonts w:hint="default" w:ascii="Times New Roman" w:hAnsi="Times New Roman" w:eastAsia="宋体" w:cs="Times New Roman"/>
                <w:color w:val="000000"/>
                <w:sz w:val="24"/>
                <w:szCs w:val="24"/>
              </w:rPr>
            </w:pPr>
            <w:r>
              <w:rPr>
                <w:rFonts w:hint="eastAsia" w:ascii="宋体" w:hAnsi="宋体" w:eastAsia="宋体" w:cs="宋体"/>
                <w:sz w:val="24"/>
                <w:lang w:val="en-US" w:eastAsia="zh-CN"/>
              </w:rPr>
              <w:t>措</w:t>
            </w:r>
            <w:r>
              <w:rPr>
                <w:rFonts w:hint="default" w:ascii="宋体" w:hAnsi="宋体" w:eastAsia="宋体" w:cs="宋体"/>
                <w:sz w:val="24"/>
                <w:lang w:val="en-US" w:eastAsia="zh-CN"/>
              </w:rPr>
              <w:t>周乡</w:t>
            </w:r>
            <w:r>
              <w:rPr>
                <w:rFonts w:hint="default" w:ascii="Times New Roman" w:hAnsi="Times New Roman" w:eastAsia="宋体" w:cs="Times New Roman"/>
                <w:color w:val="000000"/>
                <w:sz w:val="24"/>
                <w:szCs w:val="24"/>
              </w:rPr>
              <w:t>净化水厂为</w:t>
            </w:r>
            <w:r>
              <w:rPr>
                <w:rFonts w:hint="eastAsia" w:ascii="Times New Roman" w:hAnsi="Times New Roman" w:eastAsia="宋体" w:cs="Times New Roman"/>
                <w:color w:val="000000"/>
                <w:sz w:val="24"/>
                <w:szCs w:val="24"/>
                <w:lang w:val="en-US" w:eastAsia="zh-CN"/>
              </w:rPr>
              <w:t>8</w:t>
            </w:r>
            <w:r>
              <w:rPr>
                <w:rFonts w:hint="default" w:ascii="Times New Roman" w:hAnsi="Times New Roman" w:eastAsia="宋体" w:cs="Times New Roman"/>
                <w:color w:val="000000"/>
                <w:sz w:val="24"/>
                <w:szCs w:val="24"/>
              </w:rPr>
              <w:t>00m</w:t>
            </w:r>
            <w:r>
              <w:rPr>
                <w:rFonts w:hint="default" w:ascii="Times New Roman" w:hAnsi="Times New Roman" w:eastAsia="宋体" w:cs="Times New Roman"/>
                <w:color w:val="000000"/>
                <w:sz w:val="24"/>
                <w:szCs w:val="24"/>
                <w:vertAlign w:val="superscript"/>
              </w:rPr>
              <w:t>3</w:t>
            </w:r>
            <w:r>
              <w:rPr>
                <w:rFonts w:hint="default" w:ascii="Times New Roman" w:hAnsi="Times New Roman" w:eastAsia="宋体" w:cs="Times New Roman"/>
                <w:color w:val="000000"/>
                <w:sz w:val="24"/>
                <w:szCs w:val="24"/>
              </w:rPr>
              <w:t>/d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70" w:type="dxa"/>
            <w:noWrap w:val="0"/>
            <w:vAlign w:val="center"/>
          </w:tcPr>
          <w:p>
            <w:pPr>
              <w:spacing w:after="0" w:afterLine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建设项目环评时间</w:t>
            </w:r>
          </w:p>
        </w:tc>
        <w:tc>
          <w:tcPr>
            <w:tcW w:w="2229" w:type="dxa"/>
            <w:noWrap w:val="0"/>
            <w:vAlign w:val="center"/>
          </w:tcPr>
          <w:p>
            <w:pPr>
              <w:spacing w:after="0" w:afterLine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202</w:t>
            </w:r>
            <w:r>
              <w:rPr>
                <w:rFonts w:hint="eastAsia" w:ascii="Times New Roman" w:hAnsi="Times New Roman" w:eastAsia="宋体" w:cs="Times New Roman"/>
                <w:color w:val="000000"/>
                <w:sz w:val="24"/>
                <w:szCs w:val="24"/>
                <w:lang w:val="en-US" w:eastAsia="zh-CN"/>
              </w:rPr>
              <w:t>1</w:t>
            </w:r>
            <w:r>
              <w:rPr>
                <w:rFonts w:hint="default" w:ascii="Times New Roman" w:hAnsi="Times New Roman" w:eastAsia="宋体" w:cs="Times New Roman"/>
                <w:color w:val="000000"/>
                <w:sz w:val="24"/>
                <w:szCs w:val="24"/>
              </w:rPr>
              <w:t>年</w:t>
            </w:r>
            <w:r>
              <w:rPr>
                <w:rFonts w:hint="eastAsia" w:ascii="Times New Roman" w:hAnsi="Times New Roman" w:eastAsia="宋体" w:cs="Times New Roman"/>
                <w:color w:val="000000"/>
                <w:sz w:val="24"/>
                <w:szCs w:val="24"/>
                <w:lang w:val="en-US" w:eastAsia="zh-CN"/>
              </w:rPr>
              <w:t>12</w:t>
            </w:r>
            <w:r>
              <w:rPr>
                <w:rFonts w:hint="default" w:ascii="Times New Roman" w:hAnsi="Times New Roman" w:eastAsia="宋体" w:cs="Times New Roman"/>
                <w:color w:val="000000"/>
                <w:sz w:val="24"/>
                <w:szCs w:val="24"/>
              </w:rPr>
              <w:t>月</w:t>
            </w:r>
          </w:p>
        </w:tc>
        <w:tc>
          <w:tcPr>
            <w:tcW w:w="2137" w:type="dxa"/>
            <w:noWrap w:val="0"/>
            <w:vAlign w:val="center"/>
          </w:tcPr>
          <w:p>
            <w:pPr>
              <w:spacing w:after="0" w:afterLine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开工建设时间</w:t>
            </w:r>
          </w:p>
        </w:tc>
        <w:tc>
          <w:tcPr>
            <w:tcW w:w="2788" w:type="dxa"/>
            <w:gridSpan w:val="3"/>
            <w:noWrap w:val="0"/>
            <w:vAlign w:val="center"/>
          </w:tcPr>
          <w:p>
            <w:pPr>
              <w:spacing w:after="0" w:afterLines="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rPr>
              <w:t>202</w:t>
            </w:r>
            <w:r>
              <w:rPr>
                <w:rFonts w:hint="eastAsia" w:ascii="Times New Roman" w:hAnsi="Times New Roman" w:eastAsia="宋体" w:cs="Times New Roman"/>
                <w:color w:val="000000"/>
                <w:sz w:val="24"/>
                <w:szCs w:val="24"/>
                <w:lang w:val="en-US" w:eastAsia="zh-CN"/>
              </w:rPr>
              <w:t>2</w:t>
            </w:r>
            <w:r>
              <w:rPr>
                <w:rFonts w:hint="default" w:ascii="Times New Roman" w:hAnsi="Times New Roman" w:eastAsia="宋体" w:cs="Times New Roman"/>
                <w:color w:val="000000"/>
                <w:sz w:val="24"/>
                <w:szCs w:val="24"/>
              </w:rPr>
              <w:t>年</w:t>
            </w:r>
            <w:r>
              <w:rPr>
                <w:rFonts w:hint="eastAsia" w:ascii="Times New Roman" w:hAnsi="Times New Roman" w:eastAsia="宋体" w:cs="Times New Roman"/>
                <w:color w:val="000000"/>
                <w:sz w:val="24"/>
                <w:szCs w:val="24"/>
                <w:lang w:val="en-US" w:eastAsia="zh-CN"/>
              </w:rPr>
              <w:t>4</w:t>
            </w:r>
            <w:r>
              <w:rPr>
                <w:rFonts w:hint="default" w:ascii="Times New Roman" w:hAnsi="Times New Roman" w:eastAsia="宋体" w:cs="Times New Roman"/>
                <w:color w:val="000000"/>
                <w:sz w:val="24"/>
                <w:szCs w:val="24"/>
              </w:rPr>
              <w:t>月</w:t>
            </w:r>
            <w:r>
              <w:rPr>
                <w:rFonts w:hint="eastAsia" w:ascii="Times New Roman" w:hAnsi="Times New Roman" w:eastAsia="宋体" w:cs="Times New Roman"/>
                <w:color w:val="000000"/>
                <w:sz w:val="24"/>
                <w:szCs w:val="24"/>
                <w:lang w:val="en-US" w:eastAsia="zh-CN"/>
              </w:rPr>
              <w:t>30日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70" w:type="dxa"/>
            <w:noWrap w:val="0"/>
            <w:vAlign w:val="center"/>
          </w:tcPr>
          <w:p>
            <w:pPr>
              <w:spacing w:after="0" w:afterLine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调试时间</w:t>
            </w:r>
          </w:p>
        </w:tc>
        <w:tc>
          <w:tcPr>
            <w:tcW w:w="2229" w:type="dxa"/>
            <w:noWrap w:val="0"/>
            <w:vAlign w:val="center"/>
          </w:tcPr>
          <w:p>
            <w:pPr>
              <w:spacing w:after="0" w:afterLines="0"/>
              <w:jc w:val="center"/>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2022年8月10日</w:t>
            </w:r>
          </w:p>
        </w:tc>
        <w:tc>
          <w:tcPr>
            <w:tcW w:w="2137" w:type="dxa"/>
            <w:noWrap w:val="0"/>
            <w:vAlign w:val="center"/>
          </w:tcPr>
          <w:p>
            <w:pPr>
              <w:spacing w:after="0" w:afterLine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验收现场监测时间</w:t>
            </w:r>
          </w:p>
        </w:tc>
        <w:tc>
          <w:tcPr>
            <w:tcW w:w="2788" w:type="dxa"/>
            <w:gridSpan w:val="3"/>
            <w:noWrap w:val="0"/>
            <w:vAlign w:val="center"/>
          </w:tcPr>
          <w:p>
            <w:pPr>
              <w:spacing w:after="0" w:afterLines="0"/>
              <w:jc w:val="center"/>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2023年11月8-2023年11月10日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770" w:type="dxa"/>
            <w:noWrap w:val="0"/>
            <w:vAlign w:val="center"/>
          </w:tcPr>
          <w:p>
            <w:pPr>
              <w:spacing w:after="0" w:afterLine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环评报告表</w:t>
            </w:r>
          </w:p>
          <w:p>
            <w:pPr>
              <w:spacing w:after="0" w:afterLine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审批部门</w:t>
            </w:r>
          </w:p>
        </w:tc>
        <w:tc>
          <w:tcPr>
            <w:tcW w:w="2229" w:type="dxa"/>
            <w:noWrap w:val="0"/>
            <w:vAlign w:val="center"/>
          </w:tcPr>
          <w:p>
            <w:pPr>
              <w:spacing w:after="0" w:afterLines="0"/>
              <w:jc w:val="center"/>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黄南州生态环境局</w:t>
            </w:r>
          </w:p>
        </w:tc>
        <w:tc>
          <w:tcPr>
            <w:tcW w:w="2137" w:type="dxa"/>
            <w:noWrap w:val="0"/>
            <w:vAlign w:val="center"/>
          </w:tcPr>
          <w:p>
            <w:pPr>
              <w:spacing w:after="0" w:afterLine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环评报告表</w:t>
            </w:r>
          </w:p>
          <w:p>
            <w:pPr>
              <w:spacing w:after="0" w:afterLine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编制单位</w:t>
            </w:r>
          </w:p>
        </w:tc>
        <w:tc>
          <w:tcPr>
            <w:tcW w:w="2788" w:type="dxa"/>
            <w:gridSpan w:val="3"/>
            <w:noWrap w:val="0"/>
            <w:vAlign w:val="center"/>
          </w:tcPr>
          <w:p>
            <w:pPr>
              <w:spacing w:after="0" w:afterLine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青海浩诚环保工程有限公司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70" w:type="dxa"/>
            <w:noWrap w:val="0"/>
            <w:vAlign w:val="center"/>
          </w:tcPr>
          <w:p>
            <w:pPr>
              <w:spacing w:after="0" w:afterLine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环保设施设计单位</w:t>
            </w:r>
          </w:p>
        </w:tc>
        <w:tc>
          <w:tcPr>
            <w:tcW w:w="2229" w:type="dxa"/>
            <w:noWrap w:val="0"/>
            <w:vAlign w:val="center"/>
          </w:tcPr>
          <w:p>
            <w:pPr>
              <w:spacing w:after="0" w:afterLines="0"/>
              <w:jc w:val="center"/>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青海圣东水利工程勘察设计咨询有限公司</w:t>
            </w:r>
          </w:p>
        </w:tc>
        <w:tc>
          <w:tcPr>
            <w:tcW w:w="2137" w:type="dxa"/>
            <w:noWrap w:val="0"/>
            <w:vAlign w:val="center"/>
          </w:tcPr>
          <w:p>
            <w:pPr>
              <w:spacing w:after="0" w:afterLine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环保设施施工单位</w:t>
            </w:r>
          </w:p>
        </w:tc>
        <w:tc>
          <w:tcPr>
            <w:tcW w:w="2788" w:type="dxa"/>
            <w:gridSpan w:val="3"/>
            <w:noWrap w:val="0"/>
            <w:vAlign w:val="center"/>
          </w:tcPr>
          <w:p>
            <w:pPr>
              <w:spacing w:after="0" w:afterLines="0"/>
              <w:jc w:val="center"/>
              <w:rPr>
                <w:rFonts w:hint="default" w:ascii="Times New Roman" w:hAnsi="Times New Roman" w:eastAsia="宋体"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70" w:type="dxa"/>
            <w:noWrap w:val="0"/>
            <w:vAlign w:val="center"/>
          </w:tcPr>
          <w:p>
            <w:pPr>
              <w:spacing w:after="0" w:afterLine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投资总概算</w:t>
            </w:r>
          </w:p>
        </w:tc>
        <w:tc>
          <w:tcPr>
            <w:tcW w:w="2229" w:type="dxa"/>
            <w:noWrap w:val="0"/>
            <w:vAlign w:val="center"/>
          </w:tcPr>
          <w:p>
            <w:pPr>
              <w:spacing w:after="0" w:afterLines="0"/>
              <w:jc w:val="center"/>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478.44</w:t>
            </w:r>
          </w:p>
        </w:tc>
        <w:tc>
          <w:tcPr>
            <w:tcW w:w="2137" w:type="dxa"/>
            <w:noWrap w:val="0"/>
            <w:vAlign w:val="center"/>
          </w:tcPr>
          <w:p>
            <w:pPr>
              <w:spacing w:after="0" w:afterLine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环保投资总概算</w:t>
            </w:r>
          </w:p>
        </w:tc>
        <w:tc>
          <w:tcPr>
            <w:tcW w:w="988" w:type="dxa"/>
            <w:noWrap w:val="0"/>
            <w:vAlign w:val="center"/>
          </w:tcPr>
          <w:p>
            <w:pPr>
              <w:spacing w:after="0" w:afterLines="0"/>
              <w:jc w:val="center"/>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10</w:t>
            </w:r>
          </w:p>
        </w:tc>
        <w:tc>
          <w:tcPr>
            <w:tcW w:w="765" w:type="dxa"/>
            <w:noWrap w:val="0"/>
            <w:vAlign w:val="center"/>
          </w:tcPr>
          <w:p>
            <w:pPr>
              <w:spacing w:after="0" w:afterLine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比例</w:t>
            </w:r>
          </w:p>
        </w:tc>
        <w:tc>
          <w:tcPr>
            <w:tcW w:w="1035" w:type="dxa"/>
            <w:noWrap w:val="0"/>
            <w:vAlign w:val="center"/>
          </w:tcPr>
          <w:p>
            <w:pPr>
              <w:spacing w:after="0" w:afterLines="0"/>
              <w:jc w:val="center"/>
              <w:rPr>
                <w:rFonts w:hint="default"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lang w:val="en-US" w:eastAsia="zh-CN"/>
              </w:rPr>
              <w:t>2.09</w:t>
            </w:r>
            <w:r>
              <w:rPr>
                <w:rFonts w:hint="default" w:ascii="Times New Roman" w:hAnsi="Times New Roman" w:eastAsia="宋体" w:cs="Times New Roman"/>
                <w:color w:val="000000"/>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70" w:type="dxa"/>
            <w:noWrap w:val="0"/>
            <w:vAlign w:val="center"/>
          </w:tcPr>
          <w:p>
            <w:pPr>
              <w:spacing w:after="0" w:afterLine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实际总概算</w:t>
            </w:r>
          </w:p>
        </w:tc>
        <w:tc>
          <w:tcPr>
            <w:tcW w:w="2229" w:type="dxa"/>
            <w:noWrap w:val="0"/>
            <w:vAlign w:val="center"/>
          </w:tcPr>
          <w:p>
            <w:pPr>
              <w:spacing w:after="0" w:afterLines="0"/>
              <w:jc w:val="center"/>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478.44</w:t>
            </w:r>
          </w:p>
        </w:tc>
        <w:tc>
          <w:tcPr>
            <w:tcW w:w="2137" w:type="dxa"/>
            <w:noWrap w:val="0"/>
            <w:vAlign w:val="center"/>
          </w:tcPr>
          <w:p>
            <w:pPr>
              <w:spacing w:after="0" w:afterLines="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环保投资</w:t>
            </w:r>
          </w:p>
        </w:tc>
        <w:tc>
          <w:tcPr>
            <w:tcW w:w="988" w:type="dxa"/>
            <w:noWrap w:val="0"/>
            <w:vAlign w:val="center"/>
          </w:tcPr>
          <w:p>
            <w:pPr>
              <w:spacing w:after="0" w:afterLines="0"/>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10</w:t>
            </w:r>
          </w:p>
        </w:tc>
        <w:tc>
          <w:tcPr>
            <w:tcW w:w="765" w:type="dxa"/>
            <w:noWrap w:val="0"/>
            <w:vAlign w:val="center"/>
          </w:tcPr>
          <w:p>
            <w:pPr>
              <w:spacing w:after="0" w:afterLines="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比例</w:t>
            </w:r>
          </w:p>
        </w:tc>
        <w:tc>
          <w:tcPr>
            <w:tcW w:w="1035" w:type="dxa"/>
            <w:noWrap w:val="0"/>
            <w:vAlign w:val="center"/>
          </w:tcPr>
          <w:p>
            <w:pPr>
              <w:spacing w:after="0" w:afterLines="0"/>
              <w:jc w:val="center"/>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2.09</w:t>
            </w:r>
            <w:r>
              <w:rPr>
                <w:rFonts w:hint="default" w:ascii="Times New Roman" w:hAnsi="Times New Roman" w:eastAsia="宋体" w:cs="Times New Roman"/>
                <w:color w:val="auto"/>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1770" w:type="dxa"/>
            <w:noWrap w:val="0"/>
            <w:vAlign w:val="center"/>
          </w:tcPr>
          <w:p>
            <w:pPr>
              <w:spacing w:after="0" w:afterLine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验收监测依据</w:t>
            </w:r>
          </w:p>
        </w:tc>
        <w:tc>
          <w:tcPr>
            <w:tcW w:w="7154" w:type="dxa"/>
            <w:gridSpan w:val="5"/>
            <w:noWrap w:val="0"/>
            <w:vAlign w:val="top"/>
          </w:tcPr>
          <w:p>
            <w:pPr>
              <w:spacing w:after="0" w:afterLines="0" w:line="360" w:lineRule="auto"/>
              <w:jc w:val="both"/>
              <w:rPr>
                <w:rFonts w:hint="default" w:ascii="Times New Roman" w:hAnsi="Times New Roman" w:eastAsia="楷体" w:cs="Times New Roman"/>
                <w:b/>
                <w:bCs/>
                <w:color w:val="000000"/>
                <w:sz w:val="28"/>
                <w:szCs w:val="28"/>
              </w:rPr>
            </w:pPr>
            <w:r>
              <w:rPr>
                <w:rFonts w:hint="default" w:ascii="Times New Roman" w:hAnsi="Times New Roman" w:eastAsia="楷体" w:cs="Times New Roman"/>
                <w:b/>
                <w:bCs/>
                <w:color w:val="000000"/>
                <w:sz w:val="28"/>
                <w:szCs w:val="28"/>
              </w:rPr>
              <w:t>1.1 验收依据</w:t>
            </w:r>
          </w:p>
          <w:p>
            <w:pPr>
              <w:spacing w:after="0" w:afterLines="0" w:line="360" w:lineRule="auto"/>
              <w:jc w:val="both"/>
              <w:rPr>
                <w:rFonts w:hint="default" w:ascii="Times New Roman" w:hAnsi="Times New Roman" w:eastAsia="楷体" w:cs="Times New Roman"/>
                <w:b/>
                <w:bCs/>
                <w:color w:val="000000"/>
                <w:sz w:val="28"/>
                <w:szCs w:val="28"/>
              </w:rPr>
            </w:pPr>
            <w:r>
              <w:rPr>
                <w:rFonts w:hint="default" w:ascii="Times New Roman" w:hAnsi="Times New Roman" w:eastAsia="楷体" w:cs="Times New Roman"/>
                <w:b/>
                <w:bCs/>
                <w:color w:val="000000"/>
                <w:sz w:val="28"/>
                <w:szCs w:val="28"/>
              </w:rPr>
              <w:t>1.1.1 法律法规</w:t>
            </w:r>
          </w:p>
          <w:p>
            <w:pPr>
              <w:spacing w:after="0" w:afterLines="0" w:line="360" w:lineRule="auto"/>
              <w:jc w:val="both"/>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（1）《中华人民共和国环境保护法》（2015年1月1日）；</w:t>
            </w:r>
          </w:p>
          <w:p>
            <w:pPr>
              <w:spacing w:after="0" w:afterLines="0" w:line="360" w:lineRule="auto"/>
              <w:jc w:val="both"/>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w:t>
            </w:r>
            <w:r>
              <w:rPr>
                <w:rFonts w:hint="eastAsia" w:ascii="Times New Roman" w:hAnsi="Times New Roman" w:eastAsia="宋体" w:cs="Times New Roman"/>
                <w:color w:val="000000"/>
                <w:sz w:val="24"/>
                <w:szCs w:val="24"/>
                <w:lang w:val="en-US" w:eastAsia="zh-CN"/>
              </w:rPr>
              <w:t>2</w:t>
            </w:r>
            <w:r>
              <w:rPr>
                <w:rFonts w:hint="default" w:ascii="Times New Roman" w:hAnsi="Times New Roman" w:eastAsia="宋体" w:cs="Times New Roman"/>
                <w:color w:val="000000"/>
                <w:sz w:val="24"/>
                <w:szCs w:val="24"/>
              </w:rPr>
              <w:t>）《中华人民共和国水污染防治法》（2018 年1 月1 日）；</w:t>
            </w:r>
          </w:p>
          <w:p>
            <w:pPr>
              <w:spacing w:after="0" w:afterLines="0" w:line="360" w:lineRule="auto"/>
              <w:jc w:val="both"/>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w:t>
            </w:r>
            <w:r>
              <w:rPr>
                <w:rFonts w:hint="eastAsia" w:ascii="Times New Roman" w:hAnsi="Times New Roman" w:eastAsia="宋体" w:cs="Times New Roman"/>
                <w:color w:val="000000"/>
                <w:sz w:val="24"/>
                <w:szCs w:val="24"/>
                <w:lang w:val="en-US" w:eastAsia="zh-CN"/>
              </w:rPr>
              <w:t>3</w:t>
            </w:r>
            <w:r>
              <w:rPr>
                <w:rFonts w:hint="default" w:ascii="Times New Roman" w:hAnsi="Times New Roman" w:eastAsia="宋体" w:cs="Times New Roman"/>
                <w:color w:val="000000"/>
                <w:sz w:val="24"/>
                <w:szCs w:val="24"/>
              </w:rPr>
              <w:t>）《中华人民共和国大气污染防治法》（2018 年修订）；</w:t>
            </w:r>
          </w:p>
          <w:p>
            <w:pPr>
              <w:spacing w:after="0" w:afterLines="0" w:line="360" w:lineRule="auto"/>
              <w:jc w:val="both"/>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w:t>
            </w:r>
            <w:r>
              <w:rPr>
                <w:rFonts w:hint="eastAsia" w:ascii="Times New Roman" w:hAnsi="Times New Roman" w:eastAsia="宋体" w:cs="Times New Roman"/>
                <w:color w:val="000000"/>
                <w:sz w:val="24"/>
                <w:szCs w:val="24"/>
                <w:lang w:val="en-US" w:eastAsia="zh-CN"/>
              </w:rPr>
              <w:t>4</w:t>
            </w:r>
            <w:r>
              <w:rPr>
                <w:rFonts w:hint="default" w:ascii="Times New Roman" w:hAnsi="Times New Roman" w:eastAsia="宋体" w:cs="Times New Roman"/>
                <w:color w:val="000000"/>
                <w:sz w:val="24"/>
                <w:szCs w:val="24"/>
              </w:rPr>
              <w:t>）《中华人民共和国环境噪声污染防治法》（2018 年修订）；</w:t>
            </w:r>
          </w:p>
          <w:p>
            <w:pPr>
              <w:spacing w:after="0" w:afterLines="0" w:line="360" w:lineRule="auto"/>
              <w:jc w:val="both"/>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w:t>
            </w:r>
            <w:r>
              <w:rPr>
                <w:rFonts w:hint="eastAsia" w:ascii="Times New Roman" w:hAnsi="Times New Roman" w:eastAsia="宋体" w:cs="Times New Roman"/>
                <w:color w:val="000000"/>
                <w:sz w:val="24"/>
                <w:szCs w:val="24"/>
                <w:lang w:val="en-US" w:eastAsia="zh-CN"/>
              </w:rPr>
              <w:t>5</w:t>
            </w:r>
            <w:r>
              <w:rPr>
                <w:rFonts w:hint="default" w:ascii="Times New Roman" w:hAnsi="Times New Roman" w:eastAsia="宋体" w:cs="Times New Roman"/>
                <w:color w:val="000000"/>
                <w:sz w:val="24"/>
                <w:szCs w:val="24"/>
              </w:rPr>
              <w:t>）《国家危险废物名录》（2021 年版）。</w:t>
            </w:r>
          </w:p>
          <w:p>
            <w:pPr>
              <w:spacing w:after="0" w:afterLines="0" w:line="360" w:lineRule="auto"/>
              <w:jc w:val="both"/>
              <w:rPr>
                <w:rFonts w:hint="default" w:ascii="Times New Roman" w:hAnsi="Times New Roman" w:eastAsia="楷体" w:cs="Times New Roman"/>
                <w:b/>
                <w:bCs/>
                <w:color w:val="000000"/>
                <w:sz w:val="28"/>
                <w:szCs w:val="28"/>
              </w:rPr>
            </w:pPr>
            <w:r>
              <w:rPr>
                <w:rFonts w:hint="default" w:ascii="Times New Roman" w:hAnsi="Times New Roman" w:eastAsia="楷体" w:cs="Times New Roman"/>
                <w:b/>
                <w:bCs/>
                <w:color w:val="000000"/>
                <w:sz w:val="28"/>
                <w:szCs w:val="28"/>
              </w:rPr>
              <w:t>1.1.2 部门规章及规范性文件</w:t>
            </w:r>
          </w:p>
          <w:p>
            <w:pPr>
              <w:spacing w:after="0" w:afterLines="0" w:line="360" w:lineRule="auto"/>
              <w:jc w:val="both"/>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（1）《建设项目环境保护管理条例》（2017 年10 月1 日起施行）；</w:t>
            </w:r>
          </w:p>
          <w:p>
            <w:pPr>
              <w:spacing w:after="0" w:afterLines="0" w:line="360" w:lineRule="auto"/>
              <w:jc w:val="both"/>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（2）《建设项目竣工环境保护验收暂行办法》（国环规环评[2017]4 号）；</w:t>
            </w:r>
          </w:p>
          <w:p>
            <w:pPr>
              <w:spacing w:after="0" w:afterLines="0" w:line="360" w:lineRule="auto"/>
              <w:jc w:val="both"/>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（3）《关于规范建设单位自主开展建设项目竣工环境保护验收的通知》（环办环评函【2017】1235 号）；</w:t>
            </w:r>
          </w:p>
          <w:p>
            <w:pPr>
              <w:spacing w:after="0" w:afterLines="0" w:line="360" w:lineRule="auto"/>
              <w:jc w:val="both"/>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（4）《工业企业厂界环境噪声排放标准》（GB12348-2008）；</w:t>
            </w:r>
          </w:p>
          <w:p>
            <w:pPr>
              <w:spacing w:after="0" w:afterLines="0" w:line="360" w:lineRule="auto"/>
              <w:jc w:val="both"/>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（5）《一般工业固体废物贮存和填埋污染控制标准》（GB18599-</w:t>
            </w:r>
          </w:p>
          <w:p>
            <w:pPr>
              <w:spacing w:after="0" w:afterLines="0" w:line="360" w:lineRule="auto"/>
              <w:jc w:val="both"/>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2020）；</w:t>
            </w:r>
          </w:p>
          <w:p>
            <w:pPr>
              <w:spacing w:after="0" w:afterLines="0" w:line="360" w:lineRule="auto"/>
              <w:jc w:val="both"/>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（6）《危险废物贮存污染控制标准》（GB18597-20</w:t>
            </w:r>
            <w:r>
              <w:rPr>
                <w:rFonts w:hint="eastAsia" w:ascii="Times New Roman" w:hAnsi="Times New Roman" w:eastAsia="宋体" w:cs="Times New Roman"/>
                <w:color w:val="000000"/>
                <w:sz w:val="24"/>
                <w:szCs w:val="24"/>
                <w:lang w:val="en-US" w:eastAsia="zh-CN"/>
              </w:rPr>
              <w:t>23</w:t>
            </w:r>
            <w:r>
              <w:rPr>
                <w:rFonts w:hint="default" w:ascii="Times New Roman" w:hAnsi="Times New Roman" w:eastAsia="宋体" w:cs="Times New Roman"/>
                <w:color w:val="000000"/>
                <w:sz w:val="24"/>
                <w:szCs w:val="24"/>
              </w:rPr>
              <w:t>）</w:t>
            </w:r>
          </w:p>
          <w:p>
            <w:pPr>
              <w:spacing w:after="0" w:afterLines="0" w:line="360" w:lineRule="auto"/>
              <w:jc w:val="both"/>
              <w:rPr>
                <w:rFonts w:hint="default" w:ascii="Times New Roman" w:hAnsi="Times New Roman" w:eastAsia="楷体" w:cs="Times New Roman"/>
                <w:b/>
                <w:bCs/>
                <w:color w:val="000000"/>
                <w:sz w:val="28"/>
                <w:szCs w:val="28"/>
              </w:rPr>
            </w:pPr>
            <w:r>
              <w:rPr>
                <w:rFonts w:hint="default" w:ascii="Times New Roman" w:hAnsi="Times New Roman" w:eastAsia="楷体" w:cs="Times New Roman"/>
                <w:b/>
                <w:bCs/>
                <w:color w:val="000000"/>
                <w:sz w:val="28"/>
                <w:szCs w:val="28"/>
              </w:rPr>
              <w:t>1.1.</w:t>
            </w:r>
            <w:r>
              <w:rPr>
                <w:rFonts w:hint="eastAsia" w:ascii="Times New Roman" w:hAnsi="Times New Roman" w:eastAsia="楷体" w:cs="Times New Roman"/>
                <w:b/>
                <w:bCs/>
                <w:color w:val="000000"/>
                <w:sz w:val="28"/>
                <w:szCs w:val="28"/>
                <w:lang w:val="en-US" w:eastAsia="zh-CN"/>
              </w:rPr>
              <w:t>3</w:t>
            </w:r>
            <w:r>
              <w:rPr>
                <w:rFonts w:hint="default" w:ascii="Times New Roman" w:hAnsi="Times New Roman" w:eastAsia="楷体" w:cs="Times New Roman"/>
                <w:b/>
                <w:bCs/>
                <w:color w:val="000000"/>
                <w:sz w:val="28"/>
                <w:szCs w:val="28"/>
              </w:rPr>
              <w:t xml:space="preserve"> 工程资料及批复文件</w:t>
            </w:r>
          </w:p>
          <w:p>
            <w:pPr>
              <w:spacing w:after="0" w:afterLines="0" w:line="360" w:lineRule="auto"/>
              <w:jc w:val="both"/>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w:t>
            </w:r>
            <w:r>
              <w:rPr>
                <w:rFonts w:hint="default" w:ascii="宋体" w:hAnsi="宋体" w:eastAsia="宋体" w:cs="宋体"/>
                <w:sz w:val="24"/>
                <w:lang w:val="en-US" w:eastAsia="zh-CN"/>
              </w:rPr>
              <w:t>黄南州尖扎县</w:t>
            </w:r>
            <w:r>
              <w:rPr>
                <w:rFonts w:hint="eastAsia" w:ascii="宋体" w:hAnsi="宋体" w:eastAsia="宋体" w:cs="宋体"/>
                <w:sz w:val="24"/>
                <w:lang w:val="en-US" w:eastAsia="zh-CN"/>
              </w:rPr>
              <w:t>措</w:t>
            </w:r>
            <w:r>
              <w:rPr>
                <w:rFonts w:hint="default" w:ascii="宋体" w:hAnsi="宋体" w:eastAsia="宋体" w:cs="宋体"/>
                <w:sz w:val="24"/>
                <w:lang w:val="en-US" w:eastAsia="zh-CN"/>
              </w:rPr>
              <w:t>周乡净化水厂建设项目</w:t>
            </w:r>
            <w:r>
              <w:rPr>
                <w:rFonts w:hint="default" w:ascii="Times New Roman" w:hAnsi="Times New Roman" w:eastAsia="宋体" w:cs="Times New Roman"/>
                <w:color w:val="000000"/>
                <w:sz w:val="24"/>
                <w:szCs w:val="24"/>
              </w:rPr>
              <w:t>环境影响报告表》（</w:t>
            </w:r>
            <w:r>
              <w:rPr>
                <w:rFonts w:hint="eastAsia" w:ascii="Times New Roman" w:hAnsi="Times New Roman" w:eastAsia="宋体" w:cs="Times New Roman"/>
                <w:color w:val="000000"/>
                <w:sz w:val="24"/>
                <w:szCs w:val="24"/>
                <w:lang w:val="en-US" w:eastAsia="zh-CN"/>
              </w:rPr>
              <w:t>2021</w:t>
            </w:r>
            <w:r>
              <w:rPr>
                <w:rFonts w:hint="default" w:ascii="Times New Roman" w:hAnsi="Times New Roman" w:eastAsia="宋体" w:cs="Times New Roman"/>
                <w:color w:val="000000"/>
                <w:sz w:val="24"/>
                <w:szCs w:val="24"/>
              </w:rPr>
              <w:t>年</w:t>
            </w:r>
            <w:r>
              <w:rPr>
                <w:rFonts w:hint="eastAsia" w:ascii="Times New Roman" w:hAnsi="Times New Roman" w:eastAsia="宋体" w:cs="Times New Roman"/>
                <w:color w:val="000000"/>
                <w:sz w:val="24"/>
                <w:szCs w:val="24"/>
                <w:lang w:val="en-US" w:eastAsia="zh-CN"/>
              </w:rPr>
              <w:t>12</w:t>
            </w:r>
            <w:r>
              <w:rPr>
                <w:rFonts w:hint="default" w:ascii="Times New Roman" w:hAnsi="Times New Roman" w:eastAsia="宋体" w:cs="Times New Roman"/>
                <w:color w:val="000000"/>
                <w:sz w:val="24"/>
                <w:szCs w:val="24"/>
              </w:rPr>
              <w:t>月）；</w:t>
            </w:r>
          </w:p>
          <w:p>
            <w:pPr>
              <w:spacing w:after="0" w:afterLines="0" w:line="360" w:lineRule="auto"/>
              <w:jc w:val="both"/>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w:t>
            </w:r>
            <w:r>
              <w:rPr>
                <w:rFonts w:hint="default" w:ascii="宋体" w:hAnsi="宋体" w:eastAsia="宋体" w:cs="宋体"/>
                <w:sz w:val="24"/>
                <w:lang w:val="en-US" w:eastAsia="zh-CN"/>
              </w:rPr>
              <w:t>黄南州尖扎县</w:t>
            </w:r>
            <w:r>
              <w:rPr>
                <w:rFonts w:hint="eastAsia" w:ascii="宋体" w:hAnsi="宋体" w:eastAsia="宋体" w:cs="宋体"/>
                <w:sz w:val="24"/>
                <w:lang w:val="en-US" w:eastAsia="zh-CN"/>
              </w:rPr>
              <w:t>措</w:t>
            </w:r>
            <w:r>
              <w:rPr>
                <w:rFonts w:hint="default" w:ascii="宋体" w:hAnsi="宋体" w:eastAsia="宋体" w:cs="宋体"/>
                <w:sz w:val="24"/>
                <w:lang w:val="en-US" w:eastAsia="zh-CN"/>
              </w:rPr>
              <w:t>周乡净化水厂建设项目</w:t>
            </w:r>
            <w:r>
              <w:rPr>
                <w:rFonts w:hint="default" w:ascii="Times New Roman" w:hAnsi="Times New Roman" w:eastAsia="宋体" w:cs="Times New Roman"/>
                <w:color w:val="000000"/>
                <w:sz w:val="24"/>
                <w:szCs w:val="24"/>
              </w:rPr>
              <w:t>环境影响评价</w:t>
            </w:r>
            <w:r>
              <w:rPr>
                <w:rFonts w:hint="eastAsia" w:ascii="Times New Roman" w:hAnsi="Times New Roman" w:eastAsia="宋体" w:cs="Times New Roman"/>
                <w:color w:val="000000"/>
                <w:sz w:val="24"/>
                <w:szCs w:val="24"/>
                <w:lang w:val="en-US" w:eastAsia="zh-CN"/>
              </w:rPr>
              <w:t>报告表的批复</w:t>
            </w:r>
            <w:r>
              <w:rPr>
                <w:rFonts w:hint="default" w:ascii="Times New Roman" w:hAnsi="Times New Roman" w:eastAsia="宋体" w:cs="Times New Roman"/>
                <w:color w:val="000000"/>
                <w:sz w:val="24"/>
                <w:szCs w:val="24"/>
              </w:rPr>
              <w:t>》（</w:t>
            </w:r>
            <w:r>
              <w:rPr>
                <w:rFonts w:hint="eastAsia" w:ascii="Times New Roman" w:hAnsi="Times New Roman" w:eastAsia="宋体" w:cs="Times New Roman"/>
                <w:color w:val="000000"/>
                <w:sz w:val="24"/>
                <w:szCs w:val="24"/>
                <w:lang w:val="en-US" w:eastAsia="zh-CN"/>
              </w:rPr>
              <w:t>黄生发</w:t>
            </w:r>
            <w:r>
              <w:rPr>
                <w:rFonts w:hint="default" w:ascii="Times New Roman" w:hAnsi="Times New Roman" w:eastAsia="宋体" w:cs="Times New Roman"/>
                <w:color w:val="000000"/>
                <w:sz w:val="24"/>
                <w:szCs w:val="24"/>
              </w:rPr>
              <w:t>[202</w:t>
            </w:r>
            <w:r>
              <w:rPr>
                <w:rFonts w:hint="eastAsia" w:ascii="Times New Roman" w:hAnsi="Times New Roman" w:eastAsia="宋体" w:cs="Times New Roman"/>
                <w:color w:val="000000"/>
                <w:sz w:val="24"/>
                <w:szCs w:val="24"/>
                <w:lang w:val="en-US" w:eastAsia="zh-CN"/>
              </w:rPr>
              <w:t>2</w:t>
            </w:r>
            <w:r>
              <w:rPr>
                <w:rFonts w:hint="default" w:ascii="Times New Roman" w:hAnsi="Times New Roman" w:eastAsia="宋体" w:cs="Times New Roman"/>
                <w:color w:val="000000"/>
                <w:sz w:val="24"/>
                <w:szCs w:val="24"/>
              </w:rPr>
              <w:t>]</w:t>
            </w:r>
            <w:r>
              <w:rPr>
                <w:rFonts w:hint="eastAsia" w:ascii="Times New Roman" w:hAnsi="Times New Roman" w:eastAsia="宋体" w:cs="Times New Roman"/>
                <w:color w:val="000000"/>
                <w:sz w:val="24"/>
                <w:szCs w:val="24"/>
                <w:lang w:val="en-US" w:eastAsia="zh-CN"/>
              </w:rPr>
              <w:t>5</w:t>
            </w:r>
            <w:r>
              <w:rPr>
                <w:rFonts w:hint="default" w:ascii="Times New Roman" w:hAnsi="Times New Roman" w:eastAsia="宋体" w:cs="Times New Roman"/>
                <w:color w:val="000000"/>
                <w:sz w:val="24"/>
                <w:szCs w:val="24"/>
              </w:rPr>
              <w:t>号）；</w:t>
            </w:r>
          </w:p>
          <w:p>
            <w:pPr>
              <w:spacing w:after="0" w:afterLines="0" w:line="360" w:lineRule="auto"/>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（3）《青海邦宁环保检测有限公司检测报告》（</w:t>
            </w:r>
            <w:r>
              <w:rPr>
                <w:rFonts w:hint="eastAsia" w:ascii="Times New Roman" w:hAnsi="Times New Roman" w:eastAsia="宋体" w:cs="Times New Roman"/>
                <w:color w:val="auto"/>
                <w:sz w:val="24"/>
                <w:szCs w:val="24"/>
                <w:highlight w:val="none"/>
                <w:lang w:val="en-US" w:eastAsia="zh-CN"/>
              </w:rPr>
              <w:t>青邦检</w:t>
            </w:r>
            <w:r>
              <w:rPr>
                <w:rFonts w:hint="default" w:ascii="Times New Roman" w:hAnsi="Times New Roman" w:eastAsia="宋体" w:cs="Times New Roman"/>
                <w:color w:val="auto"/>
                <w:sz w:val="24"/>
                <w:szCs w:val="24"/>
                <w:highlight w:val="none"/>
              </w:rPr>
              <w:t>字</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202</w:t>
            </w:r>
            <w:r>
              <w:rPr>
                <w:rFonts w:hint="eastAsia"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第</w:t>
            </w:r>
            <w:r>
              <w:rPr>
                <w:rFonts w:hint="eastAsia" w:ascii="Times New Roman" w:hAnsi="Times New Roman" w:eastAsia="宋体" w:cs="Times New Roman"/>
                <w:color w:val="auto"/>
                <w:sz w:val="24"/>
                <w:szCs w:val="24"/>
                <w:highlight w:val="none"/>
                <w:lang w:val="en-US" w:eastAsia="zh-CN"/>
              </w:rPr>
              <w:t>271</w:t>
            </w:r>
            <w:r>
              <w:rPr>
                <w:rFonts w:hint="default" w:ascii="Times New Roman" w:hAnsi="Times New Roman" w:eastAsia="宋体" w:cs="Times New Roman"/>
                <w:color w:val="auto"/>
                <w:sz w:val="24"/>
                <w:szCs w:val="24"/>
                <w:highlight w:val="none"/>
              </w:rPr>
              <w:t>号）；</w:t>
            </w:r>
          </w:p>
          <w:p>
            <w:pPr>
              <w:spacing w:after="0" w:afterLines="0" w:line="360" w:lineRule="auto"/>
              <w:jc w:val="both"/>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（4）其他相关资料。</w:t>
            </w:r>
          </w:p>
          <w:p>
            <w:pPr>
              <w:spacing w:after="0" w:afterLines="0" w:line="360" w:lineRule="auto"/>
              <w:jc w:val="both"/>
              <w:rPr>
                <w:rFonts w:hint="default" w:ascii="Times New Roman" w:hAnsi="Times New Roman" w:eastAsia="楷体" w:cs="Times New Roman"/>
                <w:b/>
                <w:bCs/>
                <w:color w:val="000000"/>
                <w:sz w:val="28"/>
                <w:szCs w:val="28"/>
              </w:rPr>
            </w:pPr>
            <w:r>
              <w:rPr>
                <w:rFonts w:hint="default" w:ascii="Times New Roman" w:hAnsi="Times New Roman" w:eastAsia="楷体" w:cs="Times New Roman"/>
                <w:b/>
                <w:bCs/>
                <w:color w:val="000000"/>
                <w:sz w:val="28"/>
                <w:szCs w:val="28"/>
              </w:rPr>
              <w:t>1.1.</w:t>
            </w:r>
            <w:r>
              <w:rPr>
                <w:rFonts w:hint="eastAsia" w:ascii="Times New Roman" w:hAnsi="Times New Roman" w:eastAsia="楷体" w:cs="Times New Roman"/>
                <w:b/>
                <w:bCs/>
                <w:color w:val="000000"/>
                <w:sz w:val="28"/>
                <w:szCs w:val="28"/>
                <w:lang w:val="en-US" w:eastAsia="zh-CN"/>
              </w:rPr>
              <w:t>4</w:t>
            </w:r>
            <w:r>
              <w:rPr>
                <w:rFonts w:hint="default" w:ascii="Times New Roman" w:hAnsi="Times New Roman" w:eastAsia="楷体" w:cs="Times New Roman"/>
                <w:b/>
                <w:bCs/>
                <w:color w:val="000000"/>
                <w:sz w:val="28"/>
                <w:szCs w:val="28"/>
              </w:rPr>
              <w:t xml:space="preserve"> 项目环保审批情况</w:t>
            </w:r>
          </w:p>
          <w:p>
            <w:pPr>
              <w:spacing w:after="0" w:afterLines="0" w:line="360" w:lineRule="auto"/>
              <w:jc w:val="both"/>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（1）20</w:t>
            </w:r>
            <w:r>
              <w:rPr>
                <w:rFonts w:hint="eastAsia" w:ascii="Times New Roman" w:hAnsi="Times New Roman" w:eastAsia="宋体" w:cs="Times New Roman"/>
                <w:color w:val="000000"/>
                <w:sz w:val="24"/>
                <w:szCs w:val="24"/>
                <w:lang w:val="en-US" w:eastAsia="zh-CN"/>
              </w:rPr>
              <w:t>21</w:t>
            </w:r>
            <w:r>
              <w:rPr>
                <w:rFonts w:hint="default" w:ascii="Times New Roman" w:hAnsi="Times New Roman" w:eastAsia="宋体" w:cs="Times New Roman"/>
                <w:color w:val="000000"/>
                <w:sz w:val="24"/>
                <w:szCs w:val="24"/>
              </w:rPr>
              <w:t>年</w:t>
            </w:r>
            <w:r>
              <w:rPr>
                <w:rFonts w:hint="eastAsia" w:ascii="Times New Roman" w:hAnsi="Times New Roman" w:eastAsia="宋体" w:cs="Times New Roman"/>
                <w:color w:val="000000"/>
                <w:sz w:val="24"/>
                <w:szCs w:val="24"/>
                <w:lang w:val="en-US" w:eastAsia="zh-CN"/>
              </w:rPr>
              <w:t>10</w:t>
            </w:r>
            <w:r>
              <w:rPr>
                <w:rFonts w:hint="default" w:ascii="Times New Roman" w:hAnsi="Times New Roman" w:eastAsia="宋体" w:cs="Times New Roman"/>
                <w:color w:val="000000"/>
                <w:sz w:val="24"/>
                <w:szCs w:val="24"/>
              </w:rPr>
              <w:t>月</w:t>
            </w:r>
            <w:r>
              <w:rPr>
                <w:rFonts w:hint="eastAsia" w:ascii="Times New Roman" w:hAnsi="Times New Roman" w:eastAsia="宋体" w:cs="Times New Roman"/>
                <w:color w:val="000000"/>
                <w:sz w:val="24"/>
                <w:szCs w:val="24"/>
                <w:lang w:val="en-US" w:eastAsia="zh-CN"/>
              </w:rPr>
              <w:t>29</w:t>
            </w:r>
            <w:r>
              <w:rPr>
                <w:rFonts w:hint="default" w:ascii="Times New Roman" w:hAnsi="Times New Roman" w:eastAsia="宋体" w:cs="Times New Roman"/>
                <w:color w:val="000000"/>
                <w:sz w:val="24"/>
                <w:szCs w:val="24"/>
              </w:rPr>
              <w:t>日，尖扎县发展和改革局以《关于</w:t>
            </w:r>
            <w:r>
              <w:rPr>
                <w:rFonts w:hint="default" w:ascii="宋体" w:hAnsi="宋体" w:eastAsia="宋体" w:cs="宋体"/>
                <w:sz w:val="24"/>
                <w:lang w:val="en-US" w:eastAsia="zh-CN"/>
              </w:rPr>
              <w:t>黄南州尖扎县</w:t>
            </w:r>
            <w:r>
              <w:rPr>
                <w:rFonts w:hint="eastAsia" w:ascii="宋体" w:hAnsi="宋体" w:eastAsia="宋体" w:cs="宋体"/>
                <w:sz w:val="24"/>
                <w:lang w:val="en-US" w:eastAsia="zh-CN"/>
              </w:rPr>
              <w:t>措</w:t>
            </w:r>
            <w:r>
              <w:rPr>
                <w:rFonts w:hint="default" w:ascii="宋体" w:hAnsi="宋体" w:eastAsia="宋体" w:cs="宋体"/>
                <w:sz w:val="24"/>
                <w:lang w:val="en-US" w:eastAsia="zh-CN"/>
              </w:rPr>
              <w:t>周乡净化水厂建设项目</w:t>
            </w:r>
            <w:r>
              <w:rPr>
                <w:rFonts w:hint="eastAsia" w:ascii="Times New Roman" w:hAnsi="Times New Roman" w:eastAsia="宋体" w:cs="Times New Roman"/>
                <w:color w:val="000000"/>
                <w:sz w:val="24"/>
                <w:szCs w:val="24"/>
                <w:lang w:val="en-US" w:eastAsia="zh-CN"/>
              </w:rPr>
              <w:t>实施方案</w:t>
            </w:r>
            <w:r>
              <w:rPr>
                <w:rFonts w:hint="default" w:ascii="Times New Roman" w:hAnsi="Times New Roman" w:eastAsia="宋体" w:cs="Times New Roman"/>
                <w:color w:val="000000"/>
                <w:sz w:val="24"/>
                <w:szCs w:val="24"/>
              </w:rPr>
              <w:t>的批复》（尖发改字[2021]19</w:t>
            </w:r>
            <w:r>
              <w:rPr>
                <w:rFonts w:hint="eastAsia" w:ascii="Times New Roman" w:hAnsi="Times New Roman" w:eastAsia="宋体" w:cs="Times New Roman"/>
                <w:color w:val="000000"/>
                <w:sz w:val="24"/>
                <w:szCs w:val="24"/>
                <w:lang w:val="en-US" w:eastAsia="zh-CN"/>
              </w:rPr>
              <w:t>1</w:t>
            </w:r>
            <w:r>
              <w:rPr>
                <w:rFonts w:hint="default" w:ascii="Times New Roman" w:hAnsi="Times New Roman" w:eastAsia="宋体" w:cs="Times New Roman"/>
                <w:color w:val="000000"/>
                <w:sz w:val="24"/>
                <w:szCs w:val="24"/>
              </w:rPr>
              <w:t>号</w:t>
            </w:r>
            <w:r>
              <w:rPr>
                <w:rFonts w:hint="eastAsia"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rPr>
              <w:t>对本工程</w:t>
            </w:r>
            <w:r>
              <w:rPr>
                <w:rFonts w:hint="eastAsia" w:ascii="Times New Roman" w:hAnsi="Times New Roman" w:eastAsia="宋体" w:cs="Times New Roman"/>
                <w:color w:val="000000"/>
                <w:sz w:val="24"/>
                <w:szCs w:val="24"/>
                <w:lang w:val="en-US" w:eastAsia="zh-CN"/>
              </w:rPr>
              <w:t>实施方案</w:t>
            </w:r>
            <w:r>
              <w:rPr>
                <w:rFonts w:hint="default" w:ascii="Times New Roman" w:hAnsi="Times New Roman" w:eastAsia="宋体" w:cs="Times New Roman"/>
                <w:color w:val="000000"/>
                <w:sz w:val="24"/>
                <w:szCs w:val="24"/>
              </w:rPr>
              <w:t>予以批复。</w:t>
            </w:r>
          </w:p>
          <w:p>
            <w:pPr>
              <w:spacing w:after="0" w:afterLines="0" w:line="360" w:lineRule="auto"/>
              <w:jc w:val="both"/>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（2）20</w:t>
            </w:r>
            <w:r>
              <w:rPr>
                <w:rFonts w:hint="eastAsia" w:ascii="Times New Roman" w:hAnsi="Times New Roman" w:eastAsia="宋体" w:cs="Times New Roman"/>
                <w:color w:val="000000"/>
                <w:sz w:val="24"/>
                <w:szCs w:val="24"/>
                <w:lang w:val="en-US" w:eastAsia="zh-CN"/>
              </w:rPr>
              <w:t>21</w:t>
            </w:r>
            <w:r>
              <w:rPr>
                <w:rFonts w:hint="default" w:ascii="Times New Roman" w:hAnsi="Times New Roman" w:eastAsia="宋体" w:cs="Times New Roman"/>
                <w:color w:val="000000"/>
                <w:sz w:val="24"/>
                <w:szCs w:val="24"/>
              </w:rPr>
              <w:t>年</w:t>
            </w:r>
            <w:r>
              <w:rPr>
                <w:rFonts w:hint="eastAsia" w:ascii="Times New Roman" w:hAnsi="Times New Roman" w:eastAsia="宋体" w:cs="Times New Roman"/>
                <w:color w:val="000000"/>
                <w:sz w:val="24"/>
                <w:szCs w:val="24"/>
                <w:lang w:val="en-US" w:eastAsia="zh-CN"/>
              </w:rPr>
              <w:t>12</w:t>
            </w:r>
            <w:r>
              <w:rPr>
                <w:rFonts w:hint="default" w:ascii="Times New Roman" w:hAnsi="Times New Roman" w:eastAsia="宋体" w:cs="Times New Roman"/>
                <w:color w:val="000000"/>
                <w:sz w:val="24"/>
                <w:szCs w:val="24"/>
              </w:rPr>
              <w:t>月，青海浩诚环保工程有限公司编制完成《</w:t>
            </w:r>
            <w:r>
              <w:rPr>
                <w:rFonts w:hint="default" w:ascii="Times New Roman" w:hAnsi="Times New Roman" w:eastAsia="宋体" w:cs="Times New Roman"/>
                <w:color w:val="000000"/>
                <w:sz w:val="24"/>
                <w:szCs w:val="24"/>
                <w:lang w:val="en-US" w:eastAsia="zh-CN"/>
              </w:rPr>
              <w:t>黄南州尖扎县措周乡净化水厂建设项目</w:t>
            </w:r>
            <w:r>
              <w:rPr>
                <w:rFonts w:hint="default" w:ascii="Times New Roman" w:hAnsi="Times New Roman" w:eastAsia="宋体" w:cs="Times New Roman"/>
                <w:color w:val="000000"/>
                <w:sz w:val="24"/>
                <w:szCs w:val="24"/>
              </w:rPr>
              <w:t>环境影响报告表》。</w:t>
            </w:r>
          </w:p>
          <w:p>
            <w:pPr>
              <w:spacing w:after="0" w:afterLines="0" w:line="360" w:lineRule="auto"/>
              <w:jc w:val="both"/>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（3）20</w:t>
            </w:r>
            <w:r>
              <w:rPr>
                <w:rFonts w:hint="eastAsia" w:ascii="Times New Roman" w:hAnsi="Times New Roman" w:eastAsia="宋体" w:cs="Times New Roman"/>
                <w:color w:val="000000"/>
                <w:sz w:val="24"/>
                <w:szCs w:val="24"/>
                <w:lang w:val="en-US" w:eastAsia="zh-CN"/>
              </w:rPr>
              <w:t>22</w:t>
            </w:r>
            <w:r>
              <w:rPr>
                <w:rFonts w:hint="default" w:ascii="Times New Roman" w:hAnsi="Times New Roman" w:eastAsia="宋体" w:cs="Times New Roman"/>
                <w:color w:val="000000"/>
                <w:sz w:val="24"/>
                <w:szCs w:val="24"/>
              </w:rPr>
              <w:t>年</w:t>
            </w:r>
            <w:r>
              <w:rPr>
                <w:rFonts w:hint="eastAsia" w:ascii="Times New Roman" w:hAnsi="Times New Roman" w:eastAsia="宋体" w:cs="Times New Roman"/>
                <w:color w:val="000000"/>
                <w:sz w:val="24"/>
                <w:szCs w:val="24"/>
                <w:lang w:val="en-US" w:eastAsia="zh-CN"/>
              </w:rPr>
              <w:t>1</w:t>
            </w:r>
            <w:r>
              <w:rPr>
                <w:rFonts w:hint="default" w:ascii="Times New Roman" w:hAnsi="Times New Roman" w:eastAsia="宋体" w:cs="Times New Roman"/>
                <w:color w:val="000000"/>
                <w:sz w:val="24"/>
                <w:szCs w:val="24"/>
              </w:rPr>
              <w:t>月</w:t>
            </w:r>
            <w:r>
              <w:rPr>
                <w:rFonts w:hint="eastAsia" w:ascii="Times New Roman" w:hAnsi="Times New Roman" w:eastAsia="宋体" w:cs="Times New Roman"/>
                <w:color w:val="000000"/>
                <w:sz w:val="24"/>
                <w:szCs w:val="24"/>
                <w:lang w:val="en-US" w:eastAsia="zh-CN"/>
              </w:rPr>
              <w:t>6</w:t>
            </w:r>
            <w:r>
              <w:rPr>
                <w:rFonts w:hint="default" w:ascii="Times New Roman" w:hAnsi="Times New Roman" w:eastAsia="宋体" w:cs="Times New Roman"/>
                <w:color w:val="000000"/>
                <w:sz w:val="24"/>
                <w:szCs w:val="24"/>
              </w:rPr>
              <w:t>日，</w:t>
            </w:r>
            <w:r>
              <w:rPr>
                <w:rFonts w:hint="eastAsia" w:ascii="Times New Roman" w:hAnsi="Times New Roman" w:eastAsia="宋体" w:cs="Times New Roman"/>
                <w:color w:val="000000"/>
                <w:sz w:val="24"/>
                <w:szCs w:val="24"/>
                <w:lang w:val="en-US" w:eastAsia="zh-CN"/>
              </w:rPr>
              <w:t>黄南州</w:t>
            </w:r>
            <w:r>
              <w:rPr>
                <w:rFonts w:hint="default" w:ascii="Times New Roman" w:hAnsi="Times New Roman" w:eastAsia="宋体" w:cs="Times New Roman"/>
                <w:color w:val="000000"/>
                <w:sz w:val="24"/>
                <w:szCs w:val="24"/>
              </w:rPr>
              <w:t>生态环境局以</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lang w:val="en-US" w:eastAsia="zh-CN"/>
              </w:rPr>
              <w:t>黄生发</w:t>
            </w:r>
            <w:r>
              <w:rPr>
                <w:rFonts w:hint="default" w:ascii="Times New Roman" w:hAnsi="Times New Roman" w:eastAsia="宋体" w:cs="Times New Roman"/>
                <w:color w:val="000000"/>
                <w:sz w:val="24"/>
                <w:szCs w:val="24"/>
              </w:rPr>
              <w:t>[202</w:t>
            </w:r>
            <w:r>
              <w:rPr>
                <w:rFonts w:hint="eastAsia" w:ascii="Times New Roman" w:hAnsi="Times New Roman" w:eastAsia="宋体" w:cs="Times New Roman"/>
                <w:color w:val="000000"/>
                <w:sz w:val="24"/>
                <w:szCs w:val="24"/>
                <w:lang w:val="en-US" w:eastAsia="zh-CN"/>
              </w:rPr>
              <w:t>2</w:t>
            </w:r>
            <w:r>
              <w:rPr>
                <w:rFonts w:hint="default" w:ascii="Times New Roman" w:hAnsi="Times New Roman" w:eastAsia="宋体" w:cs="Times New Roman"/>
                <w:color w:val="000000"/>
                <w:sz w:val="24"/>
                <w:szCs w:val="24"/>
              </w:rPr>
              <w:t>]</w:t>
            </w:r>
            <w:r>
              <w:rPr>
                <w:rFonts w:hint="eastAsia" w:ascii="Times New Roman" w:hAnsi="Times New Roman" w:eastAsia="宋体" w:cs="Times New Roman"/>
                <w:color w:val="000000"/>
                <w:sz w:val="24"/>
                <w:szCs w:val="24"/>
                <w:lang w:val="en-US" w:eastAsia="zh-CN"/>
              </w:rPr>
              <w:t>5</w:t>
            </w:r>
            <w:r>
              <w:rPr>
                <w:rFonts w:hint="default" w:ascii="Times New Roman" w:hAnsi="Times New Roman" w:eastAsia="宋体" w:cs="Times New Roman"/>
                <w:color w:val="000000"/>
                <w:sz w:val="24"/>
                <w:szCs w:val="24"/>
              </w:rPr>
              <w:t>号</w:t>
            </w:r>
            <w:r>
              <w:rPr>
                <w:rFonts w:hint="eastAsia"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rPr>
              <w:t>对该项目予以批准。</w:t>
            </w:r>
          </w:p>
          <w:p>
            <w:pPr>
              <w:spacing w:after="0" w:afterLines="0" w:line="360" w:lineRule="auto"/>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（4）202</w:t>
            </w:r>
            <w:r>
              <w:rPr>
                <w:rFonts w:hint="eastAsia"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rPr>
              <w:t>月</w:t>
            </w:r>
            <w:r>
              <w:rPr>
                <w:rFonts w:hint="eastAsia" w:ascii="Times New Roman" w:hAnsi="Times New Roman" w:eastAsia="宋体" w:cs="Times New Roman"/>
                <w:color w:val="auto"/>
                <w:sz w:val="24"/>
                <w:szCs w:val="24"/>
                <w:lang w:val="en-US" w:eastAsia="zh-CN"/>
              </w:rPr>
              <w:t>30</w:t>
            </w:r>
            <w:r>
              <w:rPr>
                <w:rFonts w:hint="default" w:ascii="Times New Roman" w:hAnsi="Times New Roman" w:eastAsia="宋体" w:cs="Times New Roman"/>
                <w:color w:val="auto"/>
                <w:sz w:val="24"/>
                <w:szCs w:val="24"/>
              </w:rPr>
              <w:t>日开工建设。</w:t>
            </w:r>
          </w:p>
          <w:p>
            <w:pPr>
              <w:spacing w:after="0" w:afterLines="0" w:line="360" w:lineRule="auto"/>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（5）202</w:t>
            </w:r>
            <w:r>
              <w:rPr>
                <w:rFonts w:hint="eastAsia"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lang w:val="en-US" w:eastAsia="zh-CN"/>
              </w:rPr>
              <w:t>8</w:t>
            </w:r>
            <w:r>
              <w:rPr>
                <w:rFonts w:hint="default" w:ascii="Times New Roman" w:hAnsi="Times New Roman" w:eastAsia="宋体" w:cs="Times New Roman"/>
                <w:color w:val="auto"/>
                <w:sz w:val="24"/>
                <w:szCs w:val="24"/>
              </w:rPr>
              <w:t>月</w:t>
            </w:r>
            <w:r>
              <w:rPr>
                <w:rFonts w:hint="eastAsia"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0日完工。</w:t>
            </w:r>
          </w:p>
          <w:p>
            <w:pPr>
              <w:spacing w:after="0" w:afterLines="0" w:line="360" w:lineRule="auto"/>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（6）202</w:t>
            </w:r>
            <w:r>
              <w:rPr>
                <w:rFonts w:hint="eastAsia"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lang w:val="en-US" w:eastAsia="zh-CN"/>
              </w:rPr>
              <w:t>9</w:t>
            </w:r>
            <w:r>
              <w:rPr>
                <w:rFonts w:hint="default" w:ascii="Times New Roman" w:hAnsi="Times New Roman" w:eastAsia="宋体" w:cs="Times New Roman"/>
                <w:color w:val="auto"/>
                <w:sz w:val="24"/>
                <w:szCs w:val="24"/>
              </w:rPr>
              <w:t>月，</w:t>
            </w:r>
            <w:r>
              <w:rPr>
                <w:rFonts w:hint="eastAsia" w:ascii="Times New Roman" w:hAnsi="Times New Roman" w:eastAsia="宋体" w:cs="Times New Roman"/>
                <w:color w:val="auto"/>
                <w:sz w:val="24"/>
                <w:szCs w:val="24"/>
                <w:lang w:val="en-US" w:eastAsia="zh-CN"/>
              </w:rPr>
              <w:t>尖扎县水利局</w:t>
            </w:r>
            <w:r>
              <w:rPr>
                <w:rFonts w:hint="default" w:ascii="Times New Roman" w:hAnsi="Times New Roman" w:eastAsia="宋体" w:cs="Times New Roman"/>
                <w:color w:val="auto"/>
                <w:sz w:val="24"/>
                <w:szCs w:val="24"/>
              </w:rPr>
              <w:t>启动竣工环境保护验收工作。</w:t>
            </w:r>
          </w:p>
          <w:p>
            <w:pPr>
              <w:spacing w:after="0" w:afterLines="0" w:line="360" w:lineRule="auto"/>
              <w:jc w:val="both"/>
              <w:rPr>
                <w:rFonts w:hint="default" w:ascii="Times New Roman" w:hAnsi="Times New Roman" w:eastAsia="楷体" w:cs="Times New Roman"/>
                <w:b/>
                <w:bCs/>
                <w:color w:val="000000"/>
                <w:sz w:val="28"/>
                <w:szCs w:val="28"/>
              </w:rPr>
            </w:pPr>
            <w:r>
              <w:rPr>
                <w:rFonts w:hint="default" w:ascii="Times New Roman" w:hAnsi="Times New Roman" w:eastAsia="楷体" w:cs="Times New Roman"/>
                <w:b/>
                <w:bCs/>
                <w:color w:val="000000"/>
                <w:sz w:val="28"/>
                <w:szCs w:val="28"/>
              </w:rPr>
              <w:t>1.1</w:t>
            </w:r>
            <w:r>
              <w:rPr>
                <w:rFonts w:hint="eastAsia" w:ascii="Times New Roman" w:hAnsi="Times New Roman" w:eastAsia="楷体" w:cs="Times New Roman"/>
                <w:b/>
                <w:bCs/>
                <w:color w:val="000000"/>
                <w:sz w:val="28"/>
                <w:szCs w:val="28"/>
                <w:lang w:val="en-US" w:eastAsia="zh-CN"/>
              </w:rPr>
              <w:t>.5</w:t>
            </w:r>
            <w:r>
              <w:rPr>
                <w:rFonts w:hint="default" w:ascii="Times New Roman" w:hAnsi="Times New Roman" w:eastAsia="楷体" w:cs="Times New Roman"/>
                <w:b/>
                <w:bCs/>
                <w:color w:val="000000"/>
                <w:sz w:val="28"/>
                <w:szCs w:val="28"/>
              </w:rPr>
              <w:t xml:space="preserve"> 验收工作由来</w:t>
            </w:r>
          </w:p>
          <w:p>
            <w:pPr>
              <w:spacing w:after="0" w:afterLines="0" w:line="360" w:lineRule="auto"/>
              <w:ind w:firstLine="480" w:firstLineChars="200"/>
              <w:jc w:val="both"/>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根据《建设项目环境保护管理条例》、《建设项目竣工环境保护验收暂行办法》、《关于规范建设单位自主开展建设项目竣工环境保护验收的通知》（环办环评函〔2017〕1235号）等相关规定，建设单位应对本项目配套建设的环境保护设施进行验收，并编制验收报告。根据《建设项目竣工环境保护验收技术指南污染影响类》（生态环境部公告[2018]第9号）可知，本项目应编制竣工环境保护验收监测报告表。</w:t>
            </w:r>
          </w:p>
          <w:p>
            <w:pPr>
              <w:spacing w:after="0" w:afterLines="0" w:line="360" w:lineRule="auto"/>
              <w:jc w:val="both"/>
              <w:rPr>
                <w:rFonts w:hint="default" w:ascii="Times New Roman" w:hAnsi="Times New Roman" w:eastAsia="楷体" w:cs="Times New Roman"/>
                <w:b/>
                <w:bCs/>
                <w:color w:val="000000"/>
                <w:sz w:val="28"/>
                <w:szCs w:val="28"/>
              </w:rPr>
            </w:pPr>
            <w:r>
              <w:rPr>
                <w:rFonts w:hint="default" w:ascii="Times New Roman" w:hAnsi="Times New Roman" w:eastAsia="楷体" w:cs="Times New Roman"/>
                <w:b/>
                <w:bCs/>
                <w:color w:val="000000"/>
                <w:sz w:val="28"/>
                <w:szCs w:val="28"/>
              </w:rPr>
              <w:t>1.1.</w:t>
            </w:r>
            <w:r>
              <w:rPr>
                <w:rFonts w:hint="eastAsia" w:ascii="Times New Roman" w:hAnsi="Times New Roman" w:eastAsia="楷体" w:cs="Times New Roman"/>
                <w:b/>
                <w:bCs/>
                <w:color w:val="000000"/>
                <w:sz w:val="28"/>
                <w:szCs w:val="28"/>
                <w:lang w:val="en-US" w:eastAsia="zh-CN"/>
              </w:rPr>
              <w:t>6</w:t>
            </w:r>
            <w:r>
              <w:rPr>
                <w:rFonts w:hint="default" w:ascii="Times New Roman" w:hAnsi="Times New Roman" w:eastAsia="楷体" w:cs="Times New Roman"/>
                <w:b/>
                <w:bCs/>
                <w:color w:val="000000"/>
                <w:sz w:val="28"/>
                <w:szCs w:val="28"/>
              </w:rPr>
              <w:t xml:space="preserve"> 验收工作的组织与开展</w:t>
            </w:r>
          </w:p>
          <w:p>
            <w:pPr>
              <w:spacing w:after="0" w:afterLines="0" w:line="360" w:lineRule="auto"/>
              <w:ind w:firstLine="480" w:firstLineChars="200"/>
              <w:jc w:val="both"/>
              <w:rPr>
                <w:rFonts w:hint="eastAsia" w:ascii="Times New Roman" w:hAnsi="Times New Roman" w:eastAsia="宋体" w:cs="Times New Roman"/>
                <w:color w:val="000000"/>
                <w:sz w:val="24"/>
                <w:szCs w:val="24"/>
                <w:lang w:eastAsia="zh-CN"/>
              </w:rPr>
            </w:pPr>
            <w:r>
              <w:rPr>
                <w:rFonts w:hint="eastAsia" w:ascii="Times New Roman" w:hAnsi="Times New Roman" w:eastAsia="宋体" w:cs="Times New Roman"/>
                <w:color w:val="000000"/>
                <w:sz w:val="24"/>
                <w:szCs w:val="24"/>
                <w:lang w:val="en-US" w:eastAsia="zh-CN"/>
              </w:rPr>
              <w:t>尖扎县水利局</w:t>
            </w:r>
            <w:r>
              <w:rPr>
                <w:rFonts w:hint="default" w:ascii="Times New Roman" w:hAnsi="Times New Roman" w:eastAsia="宋体" w:cs="Times New Roman"/>
                <w:color w:val="000000"/>
                <w:sz w:val="24"/>
                <w:szCs w:val="24"/>
              </w:rPr>
              <w:t>委托青海</w:t>
            </w:r>
            <w:r>
              <w:rPr>
                <w:rFonts w:hint="default" w:ascii="Times New Roman" w:hAnsi="Times New Roman" w:eastAsia="宋体" w:cs="Times New Roman"/>
                <w:color w:val="000000"/>
                <w:sz w:val="24"/>
                <w:szCs w:val="24"/>
                <w:lang w:val="en-US" w:eastAsia="zh-CN"/>
              </w:rPr>
              <w:t>惠宁生态环境科技</w:t>
            </w:r>
            <w:r>
              <w:rPr>
                <w:rFonts w:hint="default" w:ascii="Times New Roman" w:hAnsi="Times New Roman" w:eastAsia="宋体" w:cs="Times New Roman"/>
                <w:color w:val="000000"/>
                <w:sz w:val="24"/>
                <w:szCs w:val="24"/>
              </w:rPr>
              <w:t>有限公司对</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lang w:val="en-US" w:eastAsia="zh-CN"/>
              </w:rPr>
              <w:t>黄南州</w:t>
            </w:r>
            <w:r>
              <w:rPr>
                <w:rFonts w:hint="eastAsia" w:ascii="Times New Roman" w:hAnsi="Times New Roman" w:eastAsia="宋体" w:cs="Times New Roman"/>
                <w:color w:val="000000"/>
                <w:sz w:val="24"/>
                <w:szCs w:val="24"/>
                <w:lang w:eastAsia="zh-CN"/>
              </w:rPr>
              <w:t>尖扎县</w:t>
            </w:r>
            <w:r>
              <w:rPr>
                <w:rFonts w:hint="eastAsia" w:ascii="Times New Roman" w:hAnsi="Times New Roman" w:eastAsia="宋体" w:cs="Times New Roman"/>
                <w:color w:val="000000"/>
                <w:sz w:val="24"/>
                <w:szCs w:val="24"/>
                <w:lang w:val="en-US" w:eastAsia="zh-CN"/>
              </w:rPr>
              <w:t>措周乡</w:t>
            </w:r>
            <w:r>
              <w:rPr>
                <w:rFonts w:hint="eastAsia" w:ascii="Times New Roman" w:hAnsi="Times New Roman" w:eastAsia="宋体" w:cs="Times New Roman"/>
                <w:color w:val="000000"/>
                <w:sz w:val="24"/>
                <w:szCs w:val="24"/>
                <w:lang w:eastAsia="zh-CN"/>
              </w:rPr>
              <w:t>净化水厂</w:t>
            </w:r>
            <w:r>
              <w:rPr>
                <w:rFonts w:hint="eastAsia" w:ascii="Times New Roman" w:hAnsi="Times New Roman" w:eastAsia="宋体" w:cs="Times New Roman"/>
                <w:color w:val="000000"/>
                <w:sz w:val="24"/>
                <w:szCs w:val="24"/>
                <w:lang w:val="en-US" w:eastAsia="zh-CN"/>
              </w:rPr>
              <w:t>建设项目</w:t>
            </w:r>
            <w:r>
              <w:rPr>
                <w:rFonts w:hint="eastAsia"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rPr>
              <w:t>开展建设项目竣工环境保护验收。接受委托后，我司组织专业技术人员对该项目进行现场勘查、资料收集，并委托</w:t>
            </w:r>
            <w:r>
              <w:rPr>
                <w:rFonts w:hint="eastAsia" w:ascii="Times New Roman" w:hAnsi="Times New Roman" w:eastAsia="宋体" w:cs="Times New Roman"/>
                <w:color w:val="000000"/>
                <w:sz w:val="24"/>
                <w:szCs w:val="24"/>
                <w:lang w:val="en-US" w:eastAsia="zh-CN"/>
              </w:rPr>
              <w:t>青海邦宁环境检测有限公司</w:t>
            </w:r>
            <w:r>
              <w:rPr>
                <w:rFonts w:hint="default" w:ascii="Times New Roman" w:hAnsi="Times New Roman" w:eastAsia="宋体" w:cs="Times New Roman"/>
                <w:color w:val="000000"/>
                <w:sz w:val="24"/>
                <w:szCs w:val="24"/>
              </w:rPr>
              <w:t>实施了现场监测。公司根据环评报及批复、现场监测结果、建设项目竣工环境保护验收技术指南等要求编制《</w:t>
            </w:r>
            <w:r>
              <w:rPr>
                <w:rFonts w:hint="default" w:ascii="Times New Roman" w:hAnsi="Times New Roman" w:eastAsia="宋体" w:cs="Times New Roman"/>
                <w:color w:val="000000"/>
                <w:sz w:val="24"/>
                <w:szCs w:val="24"/>
                <w:lang w:val="en-US" w:eastAsia="zh-CN"/>
              </w:rPr>
              <w:t>黄南州</w:t>
            </w:r>
            <w:r>
              <w:rPr>
                <w:rFonts w:hint="default" w:ascii="Times New Roman" w:hAnsi="Times New Roman" w:eastAsia="宋体" w:cs="Times New Roman"/>
                <w:color w:val="000000"/>
                <w:sz w:val="24"/>
                <w:szCs w:val="24"/>
              </w:rPr>
              <w:t>尖扎县</w:t>
            </w:r>
            <w:r>
              <w:rPr>
                <w:rFonts w:hint="default" w:ascii="Times New Roman" w:hAnsi="Times New Roman" w:eastAsia="宋体" w:cs="Times New Roman"/>
                <w:color w:val="000000"/>
                <w:sz w:val="24"/>
                <w:szCs w:val="24"/>
                <w:lang w:val="en-US" w:eastAsia="zh-CN"/>
              </w:rPr>
              <w:t>措周乡</w:t>
            </w:r>
            <w:r>
              <w:rPr>
                <w:rFonts w:hint="default" w:ascii="Times New Roman" w:hAnsi="Times New Roman" w:eastAsia="宋体" w:cs="Times New Roman"/>
                <w:color w:val="000000"/>
                <w:sz w:val="24"/>
                <w:szCs w:val="24"/>
              </w:rPr>
              <w:t>净化水厂</w:t>
            </w:r>
            <w:r>
              <w:rPr>
                <w:rFonts w:hint="default" w:ascii="Times New Roman" w:hAnsi="Times New Roman" w:eastAsia="宋体" w:cs="Times New Roman"/>
                <w:color w:val="000000"/>
                <w:sz w:val="24"/>
                <w:szCs w:val="24"/>
                <w:lang w:val="en-US" w:eastAsia="zh-CN"/>
              </w:rPr>
              <w:t>建设项目</w:t>
            </w:r>
            <w:r>
              <w:rPr>
                <w:rFonts w:hint="default" w:ascii="Times New Roman" w:hAnsi="Times New Roman" w:eastAsia="宋体" w:cs="Times New Roman"/>
                <w:color w:val="000000"/>
                <w:sz w:val="24"/>
                <w:szCs w:val="24"/>
              </w:rPr>
              <w:t>竣工环境保护验收监测报告表》</w:t>
            </w:r>
            <w:r>
              <w:rPr>
                <w:rFonts w:hint="eastAsia" w:ascii="Times New Roman" w:hAnsi="Times New Roman" w:eastAsia="宋体" w:cs="Times New Roman"/>
                <w:color w:val="000000"/>
                <w:sz w:val="24"/>
                <w:szCs w:val="24"/>
                <w:lang w:eastAsia="zh-CN"/>
              </w:rPr>
              <w:t>。</w:t>
            </w:r>
          </w:p>
          <w:p>
            <w:pPr>
              <w:spacing w:after="0" w:afterLines="0" w:line="360" w:lineRule="auto"/>
              <w:jc w:val="both"/>
              <w:rPr>
                <w:rFonts w:hint="default" w:ascii="Times New Roman" w:hAnsi="Times New Roman" w:eastAsia="楷体" w:cs="Times New Roman"/>
                <w:b/>
                <w:bCs/>
                <w:color w:val="000000"/>
                <w:sz w:val="28"/>
                <w:szCs w:val="28"/>
              </w:rPr>
            </w:pPr>
            <w:r>
              <w:rPr>
                <w:rFonts w:hint="default" w:ascii="Times New Roman" w:hAnsi="Times New Roman" w:eastAsia="楷体" w:cs="Times New Roman"/>
                <w:b/>
                <w:bCs/>
                <w:color w:val="000000"/>
                <w:sz w:val="28"/>
                <w:szCs w:val="28"/>
              </w:rPr>
              <w:t>1.1.</w:t>
            </w:r>
            <w:r>
              <w:rPr>
                <w:rFonts w:hint="eastAsia" w:ascii="Times New Roman" w:hAnsi="Times New Roman" w:eastAsia="楷体" w:cs="Times New Roman"/>
                <w:b/>
                <w:bCs/>
                <w:color w:val="000000"/>
                <w:sz w:val="28"/>
                <w:szCs w:val="28"/>
                <w:lang w:val="en-US" w:eastAsia="zh-CN"/>
              </w:rPr>
              <w:t>7</w:t>
            </w:r>
            <w:r>
              <w:rPr>
                <w:rFonts w:hint="default" w:ascii="Times New Roman" w:hAnsi="Times New Roman" w:eastAsia="楷体" w:cs="Times New Roman"/>
                <w:b/>
                <w:bCs/>
                <w:color w:val="000000"/>
                <w:sz w:val="28"/>
                <w:szCs w:val="28"/>
              </w:rPr>
              <w:t xml:space="preserve"> 验收范围和内容</w:t>
            </w:r>
          </w:p>
          <w:p>
            <w:pPr>
              <w:spacing w:after="0" w:afterLines="0" w:line="360" w:lineRule="auto"/>
              <w:ind w:firstLine="480" w:firstLineChars="200"/>
              <w:jc w:val="both"/>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根据</w:t>
            </w:r>
            <w:r>
              <w:rPr>
                <w:rFonts w:hint="default" w:ascii="Times New Roman" w:hAnsi="Times New Roman" w:eastAsia="宋体" w:cs="Times New Roman"/>
                <w:b w:val="0"/>
                <w:bCs w:val="0"/>
                <w:color w:val="000000"/>
                <w:sz w:val="28"/>
                <w:szCs w:val="28"/>
              </w:rPr>
              <w:t>&lt;</w:t>
            </w:r>
            <w:r>
              <w:rPr>
                <w:rFonts w:hint="default" w:ascii="Times New Roman" w:hAnsi="Times New Roman" w:eastAsia="宋体" w:cs="Times New Roman"/>
                <w:color w:val="000000"/>
                <w:sz w:val="24"/>
                <w:szCs w:val="24"/>
              </w:rPr>
              <w:t>《建设项目竣工环境保护验收暂行办法》的公告&gt;国环规环评【2017】4号文件精神，本项目验收范围包括环评及环评批复中业主自主组织验收的内容，即对该项目废水、废气、噪声、固废等环保设施建设落实情况进行调查、核实，对各项环境管理制度落实情况进行核实。</w:t>
            </w:r>
          </w:p>
          <w:p>
            <w:pPr>
              <w:spacing w:after="0" w:afterLines="0" w:line="360" w:lineRule="auto"/>
              <w:ind w:firstLine="480" w:firstLineChars="200"/>
              <w:jc w:val="both"/>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本工程位于尖扎县措周乡那卡村</w:t>
            </w:r>
            <w:r>
              <w:rPr>
                <w:rFonts w:hint="eastAsia"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rPr>
              <w:t>项目环评期间拟建设内容包括：</w:t>
            </w:r>
          </w:p>
          <w:p>
            <w:pPr>
              <w:spacing w:after="0" w:afterLines="0" w:line="360" w:lineRule="auto"/>
              <w:ind w:firstLine="480" w:firstLineChars="200"/>
              <w:jc w:val="both"/>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bCs/>
                <w:sz w:val="24"/>
                <w:highlight w:val="none"/>
              </w:rPr>
              <w:t>新建200t预沉池1座，集成一体化水厂1座，建设用地总面积549.4m</w:t>
            </w:r>
            <w:r>
              <w:rPr>
                <w:rFonts w:hint="default" w:ascii="Times New Roman" w:hAnsi="Times New Roman" w:eastAsia="宋体" w:cs="Times New Roman"/>
                <w:bCs/>
                <w:sz w:val="24"/>
                <w:highlight w:val="none"/>
                <w:vertAlign w:val="superscript"/>
              </w:rPr>
              <w:t>2</w:t>
            </w:r>
            <w:r>
              <w:rPr>
                <w:rFonts w:hint="default" w:ascii="Times New Roman" w:hAnsi="Times New Roman" w:eastAsia="宋体" w:cs="Times New Roman"/>
                <w:bCs/>
                <w:sz w:val="24"/>
                <w:highlight w:val="none"/>
              </w:rPr>
              <w:t>（其中，建筑物用地面积221.8m</w:t>
            </w:r>
            <w:r>
              <w:rPr>
                <w:rFonts w:hint="default" w:ascii="Times New Roman" w:hAnsi="Times New Roman" w:eastAsia="宋体" w:cs="Times New Roman"/>
                <w:bCs/>
                <w:sz w:val="24"/>
                <w:highlight w:val="none"/>
                <w:vertAlign w:val="superscript"/>
              </w:rPr>
              <w:t>2</w:t>
            </w:r>
            <w:r>
              <w:rPr>
                <w:rFonts w:hint="default" w:ascii="Times New Roman" w:hAnsi="Times New Roman" w:eastAsia="宋体" w:cs="Times New Roman"/>
                <w:bCs/>
                <w:sz w:val="24"/>
                <w:highlight w:val="none"/>
              </w:rPr>
              <w:t>，绿化用地面积119.0m</w:t>
            </w:r>
            <w:r>
              <w:rPr>
                <w:rFonts w:hint="default" w:ascii="Times New Roman" w:hAnsi="Times New Roman" w:eastAsia="宋体" w:cs="Times New Roman"/>
                <w:bCs/>
                <w:sz w:val="24"/>
                <w:highlight w:val="none"/>
                <w:vertAlign w:val="superscript"/>
              </w:rPr>
              <w:t>2</w:t>
            </w:r>
            <w:r>
              <w:rPr>
                <w:rFonts w:hint="default" w:ascii="Times New Roman" w:hAnsi="Times New Roman" w:eastAsia="宋体" w:cs="Times New Roman"/>
                <w:bCs/>
                <w:sz w:val="24"/>
                <w:highlight w:val="none"/>
              </w:rPr>
              <w:t>，厂内地坪208.6m</w:t>
            </w:r>
            <w:r>
              <w:rPr>
                <w:rFonts w:hint="default" w:ascii="Times New Roman" w:hAnsi="Times New Roman" w:eastAsia="宋体" w:cs="Times New Roman"/>
                <w:bCs/>
                <w:sz w:val="24"/>
                <w:highlight w:val="none"/>
                <w:vertAlign w:val="superscript"/>
              </w:rPr>
              <w:t>2</w:t>
            </w:r>
            <w:r>
              <w:rPr>
                <w:rFonts w:hint="default" w:ascii="Times New Roman" w:hAnsi="Times New Roman" w:eastAsia="宋体" w:cs="Times New Roman"/>
                <w:bCs/>
                <w:sz w:val="24"/>
                <w:highlight w:val="none"/>
              </w:rPr>
              <w:t>），院落围墙95m，场外道路10m。新建150t清水池1座，闸室1座，分水井2座，铺设Φ225PE100引水管道199m、Φ225PE100溢流管125m，Φ400钢带增强聚乙烯螺旋波纹排水管道507m。</w:t>
            </w:r>
          </w:p>
          <w:p>
            <w:pPr>
              <w:spacing w:after="0" w:afterLines="0" w:line="360" w:lineRule="auto"/>
              <w:ind w:firstLine="480" w:firstLineChars="200"/>
              <w:jc w:val="both"/>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经调查，本项目实际建设内容：</w:t>
            </w:r>
          </w:p>
          <w:p>
            <w:pPr>
              <w:spacing w:after="0" w:afterLines="0" w:line="360" w:lineRule="auto"/>
              <w:ind w:firstLine="480" w:firstLineChars="200"/>
              <w:jc w:val="both"/>
              <w:rPr>
                <w:rFonts w:hint="eastAsia" w:ascii="Times New Roman" w:hAnsi="Times New Roman" w:eastAsia="宋体" w:cs="Times New Roman"/>
                <w:color w:val="000000"/>
                <w:sz w:val="24"/>
                <w:szCs w:val="24"/>
                <w:lang w:eastAsia="zh-CN"/>
              </w:rPr>
            </w:pPr>
            <w:r>
              <w:rPr>
                <w:rFonts w:hint="default" w:ascii="Times New Roman" w:hAnsi="Times New Roman" w:eastAsia="宋体" w:cs="Times New Roman"/>
                <w:bCs/>
                <w:sz w:val="24"/>
                <w:highlight w:val="none"/>
              </w:rPr>
              <w:t>新建200t预沉池1座，集成一体化水厂1座</w:t>
            </w: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lang w:val="en-US" w:eastAsia="zh-CN"/>
              </w:rPr>
              <w:t>800t/d</w:t>
            </w: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bCs/>
                <w:sz w:val="24"/>
                <w:highlight w:val="none"/>
              </w:rPr>
              <w:t>，建设用地总面积549.4m</w:t>
            </w:r>
            <w:r>
              <w:rPr>
                <w:rFonts w:hint="default" w:ascii="Times New Roman" w:hAnsi="Times New Roman" w:eastAsia="宋体" w:cs="Times New Roman"/>
                <w:bCs/>
                <w:sz w:val="24"/>
                <w:highlight w:val="none"/>
                <w:vertAlign w:val="superscript"/>
              </w:rPr>
              <w:t>2</w:t>
            </w:r>
            <w:r>
              <w:rPr>
                <w:rFonts w:hint="default" w:ascii="Times New Roman" w:hAnsi="Times New Roman" w:eastAsia="宋体" w:cs="Times New Roman"/>
                <w:bCs/>
                <w:sz w:val="24"/>
                <w:highlight w:val="none"/>
              </w:rPr>
              <w:t>（其中，建筑物用地面积221.8m</w:t>
            </w:r>
            <w:r>
              <w:rPr>
                <w:rFonts w:hint="default" w:ascii="Times New Roman" w:hAnsi="Times New Roman" w:eastAsia="宋体" w:cs="Times New Roman"/>
                <w:bCs/>
                <w:sz w:val="24"/>
                <w:highlight w:val="none"/>
                <w:vertAlign w:val="superscript"/>
              </w:rPr>
              <w:t>2</w:t>
            </w:r>
            <w:r>
              <w:rPr>
                <w:rFonts w:hint="default" w:ascii="Times New Roman" w:hAnsi="Times New Roman" w:eastAsia="宋体" w:cs="Times New Roman"/>
                <w:bCs/>
                <w:sz w:val="24"/>
                <w:highlight w:val="none"/>
              </w:rPr>
              <w:t>，绿化用地面积119.0m</w:t>
            </w:r>
            <w:r>
              <w:rPr>
                <w:rFonts w:hint="default" w:ascii="Times New Roman" w:hAnsi="Times New Roman" w:eastAsia="宋体" w:cs="Times New Roman"/>
                <w:bCs/>
                <w:sz w:val="24"/>
                <w:highlight w:val="none"/>
                <w:vertAlign w:val="superscript"/>
              </w:rPr>
              <w:t>2</w:t>
            </w:r>
            <w:r>
              <w:rPr>
                <w:rFonts w:hint="default" w:ascii="Times New Roman" w:hAnsi="Times New Roman" w:eastAsia="宋体" w:cs="Times New Roman"/>
                <w:bCs/>
                <w:sz w:val="24"/>
                <w:highlight w:val="none"/>
              </w:rPr>
              <w:t>，厂内地坪208.6m</w:t>
            </w:r>
            <w:r>
              <w:rPr>
                <w:rFonts w:hint="default" w:ascii="Times New Roman" w:hAnsi="Times New Roman" w:eastAsia="宋体" w:cs="Times New Roman"/>
                <w:bCs/>
                <w:sz w:val="24"/>
                <w:highlight w:val="none"/>
                <w:vertAlign w:val="superscript"/>
              </w:rPr>
              <w:t>2</w:t>
            </w:r>
            <w:r>
              <w:rPr>
                <w:rFonts w:hint="default" w:ascii="Times New Roman" w:hAnsi="Times New Roman" w:eastAsia="宋体" w:cs="Times New Roman"/>
                <w:bCs/>
                <w:sz w:val="24"/>
                <w:highlight w:val="none"/>
              </w:rPr>
              <w:t>），院落围墙95m，场外道路10m。新建150t清水池1座，闸室1座，分水井2座，铺设Φ225PE100引水管道199m、Φ225PE100溢流管125m，Φ400钢带增强聚乙烯螺旋波纹排水管道507m。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69" w:hRule="atLeast"/>
          <w:jc w:val="center"/>
        </w:trPr>
        <w:tc>
          <w:tcPr>
            <w:tcW w:w="1770" w:type="dxa"/>
            <w:noWrap w:val="0"/>
            <w:vAlign w:val="center"/>
          </w:tcPr>
          <w:p>
            <w:pPr>
              <w:spacing w:after="0" w:afterLine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验收监测评价标准、标号、级别、限值</w:t>
            </w:r>
          </w:p>
        </w:tc>
        <w:tc>
          <w:tcPr>
            <w:tcW w:w="7154" w:type="dxa"/>
            <w:gridSpan w:val="5"/>
            <w:noWrap w:val="0"/>
            <w:vAlign w:val="top"/>
          </w:tcPr>
          <w:p>
            <w:pPr>
              <w:spacing w:after="0" w:afterLines="0" w:line="360" w:lineRule="auto"/>
              <w:jc w:val="both"/>
              <w:rPr>
                <w:rFonts w:hint="default" w:ascii="Times New Roman" w:hAnsi="Times New Roman" w:eastAsia="楷体" w:cs="Times New Roman"/>
                <w:b/>
                <w:bCs/>
                <w:color w:val="000000"/>
                <w:sz w:val="28"/>
                <w:szCs w:val="28"/>
                <w:lang w:val="en-US" w:eastAsia="zh-CN"/>
              </w:rPr>
            </w:pPr>
            <w:r>
              <w:rPr>
                <w:rFonts w:hint="eastAsia" w:ascii="Times New Roman" w:hAnsi="Times New Roman" w:eastAsia="楷体" w:cs="Times New Roman"/>
                <w:b/>
                <w:bCs/>
                <w:color w:val="000000"/>
                <w:sz w:val="28"/>
                <w:szCs w:val="28"/>
                <w:lang w:val="en-US" w:eastAsia="zh-CN"/>
              </w:rPr>
              <w:t>1.2 验收标准</w:t>
            </w:r>
          </w:p>
          <w:p>
            <w:pPr>
              <w:spacing w:after="0" w:afterLines="0" w:line="360" w:lineRule="auto"/>
              <w:ind w:firstLine="480" w:firstLineChars="200"/>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根据《建设项目环境保护设施施工竣工验收监测技术要求（试行）》中的有关规定，本次环保竣工验收原则上采用项目环境影响报告表以及环评批复中所采用的标准，对已修订新颁布的标准则采用替代后的新标准进行校核。</w:t>
            </w:r>
          </w:p>
          <w:p>
            <w:pPr>
              <w:keepNext w:val="0"/>
              <w:keepLines w:val="0"/>
              <w:widowControl/>
              <w:suppressLineNumbers w:val="0"/>
              <w:ind w:firstLine="480" w:firstLineChars="200"/>
              <w:jc w:val="left"/>
              <w:rPr>
                <w:rFonts w:hint="default" w:ascii="Times New Roman" w:hAnsi="Times New Roman" w:eastAsia="楷体" w:cs="Times New Roman"/>
                <w:b/>
                <w:bCs/>
                <w:color w:val="auto"/>
                <w:sz w:val="28"/>
                <w:szCs w:val="28"/>
              </w:rPr>
            </w:pPr>
            <w:r>
              <w:rPr>
                <w:rFonts w:hint="eastAsia" w:ascii="宋体" w:hAnsi="宋体" w:eastAsia="宋体" w:cs="宋体"/>
                <w:color w:val="000000"/>
                <w:kern w:val="0"/>
                <w:sz w:val="24"/>
                <w:szCs w:val="24"/>
                <w:lang w:val="en-US" w:eastAsia="zh-CN" w:bidi="ar"/>
              </w:rPr>
              <w:t>本次验收阶段污染物排放标准执行情况与环评阶段一致。</w:t>
            </w:r>
          </w:p>
          <w:p>
            <w:pPr>
              <w:spacing w:after="0" w:afterLines="0" w:line="360" w:lineRule="auto"/>
              <w:jc w:val="both"/>
              <w:rPr>
                <w:rFonts w:hint="default" w:ascii="Times New Roman" w:hAnsi="Times New Roman" w:eastAsia="楷体" w:cs="Times New Roman"/>
                <w:b/>
                <w:bCs/>
                <w:color w:val="000000"/>
                <w:sz w:val="28"/>
                <w:szCs w:val="28"/>
              </w:rPr>
            </w:pPr>
            <w:r>
              <w:rPr>
                <w:rFonts w:hint="default" w:ascii="Times New Roman" w:hAnsi="Times New Roman" w:eastAsia="楷体" w:cs="Times New Roman"/>
                <w:b/>
                <w:bCs/>
                <w:color w:val="000000"/>
                <w:sz w:val="28"/>
                <w:szCs w:val="28"/>
              </w:rPr>
              <w:t>1.2.</w:t>
            </w:r>
            <w:r>
              <w:rPr>
                <w:rFonts w:hint="eastAsia" w:ascii="Times New Roman" w:hAnsi="Times New Roman" w:eastAsia="楷体" w:cs="Times New Roman"/>
                <w:b/>
                <w:bCs/>
                <w:color w:val="000000"/>
                <w:sz w:val="28"/>
                <w:szCs w:val="28"/>
                <w:lang w:val="en-US" w:eastAsia="zh-CN"/>
              </w:rPr>
              <w:t>1</w:t>
            </w:r>
            <w:r>
              <w:rPr>
                <w:rFonts w:hint="default" w:ascii="Times New Roman" w:hAnsi="Times New Roman" w:eastAsia="楷体" w:cs="Times New Roman"/>
                <w:b/>
                <w:bCs/>
                <w:color w:val="000000"/>
                <w:sz w:val="28"/>
                <w:szCs w:val="28"/>
              </w:rPr>
              <w:t>噪声</w:t>
            </w:r>
          </w:p>
          <w:p>
            <w:pPr>
              <w:spacing w:after="0" w:afterLines="0" w:line="360" w:lineRule="auto"/>
              <w:ind w:firstLine="480" w:firstLineChars="200"/>
              <w:jc w:val="both"/>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本项目水厂厂界噪声执行《工业企业厂界环境噪声排放标准》(GB12348-2008)</w:t>
            </w:r>
            <w:r>
              <w:rPr>
                <w:rFonts w:hint="eastAsia" w:ascii="Times New Roman" w:hAnsi="Times New Roman" w:eastAsia="宋体" w:cs="Times New Roman"/>
                <w:color w:val="000000"/>
                <w:sz w:val="24"/>
                <w:szCs w:val="24"/>
                <w:lang w:val="en-US" w:eastAsia="zh-CN"/>
              </w:rPr>
              <w:t>2</w:t>
            </w:r>
            <w:r>
              <w:rPr>
                <w:rFonts w:hint="default" w:ascii="Times New Roman" w:hAnsi="Times New Roman" w:eastAsia="宋体" w:cs="Times New Roman"/>
                <w:color w:val="000000"/>
                <w:sz w:val="24"/>
                <w:szCs w:val="24"/>
              </w:rPr>
              <w:t>类区标准，具体见表：</w:t>
            </w:r>
          </w:p>
          <w:p>
            <w:pPr>
              <w:spacing w:after="0" w:afterLines="0" w:line="240" w:lineRule="auto"/>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表1-1 噪声排放标准</w:t>
            </w:r>
            <w:r>
              <w:rPr>
                <w:rFonts w:hint="eastAsia" w:ascii="Times New Roman" w:hAnsi="Times New Roman" w:eastAsia="宋体" w:cs="Times New Roman"/>
                <w:b/>
                <w:bCs/>
                <w:color w:val="000000"/>
                <w:sz w:val="21"/>
                <w:szCs w:val="21"/>
                <w:lang w:val="en-US" w:eastAsia="zh-CN"/>
              </w:rPr>
              <w:t xml:space="preserve">     </w:t>
            </w:r>
            <w:r>
              <w:rPr>
                <w:rFonts w:hint="default" w:ascii="Times New Roman" w:hAnsi="Times New Roman" w:eastAsia="宋体" w:cs="Times New Roman"/>
                <w:b/>
                <w:bCs/>
                <w:color w:val="000000"/>
                <w:sz w:val="21"/>
                <w:szCs w:val="21"/>
              </w:rPr>
              <w:t>单位：dB（A）</w:t>
            </w:r>
          </w:p>
          <w:tbl>
            <w:tblPr>
              <w:tblStyle w:val="11"/>
              <w:tblW w:w="6938"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110"/>
              <w:gridCol w:w="915"/>
              <w:gridCol w:w="795"/>
              <w:gridCol w:w="333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7" w:type="dxa"/>
                  <w:vMerge w:val="restart"/>
                  <w:tcBorders>
                    <w:tl2br w:val="nil"/>
                    <w:tr2bl w:val="nil"/>
                  </w:tcBorders>
                  <w:vAlign w:val="center"/>
                </w:tcPr>
                <w:p>
                  <w:pPr>
                    <w:widowControl w:val="0"/>
                    <w:spacing w:after="0" w:afterLines="0" w:line="240" w:lineRule="auto"/>
                    <w:jc w:val="center"/>
                    <w:rPr>
                      <w:rFonts w:hint="eastAsia"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项目</w:t>
                  </w:r>
                </w:p>
              </w:tc>
              <w:tc>
                <w:tcPr>
                  <w:tcW w:w="1110" w:type="dxa"/>
                  <w:vMerge w:val="restart"/>
                  <w:tcBorders>
                    <w:tl2br w:val="nil"/>
                    <w:tr2bl w:val="nil"/>
                  </w:tcBorders>
                  <w:vAlign w:val="center"/>
                </w:tcPr>
                <w:p>
                  <w:pPr>
                    <w:widowControl w:val="0"/>
                    <w:spacing w:after="0" w:afterLines="0" w:line="240" w:lineRule="auto"/>
                    <w:jc w:val="center"/>
                    <w:rPr>
                      <w:rFonts w:hint="eastAsia"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监测因子</w:t>
                  </w:r>
                </w:p>
              </w:tc>
              <w:tc>
                <w:tcPr>
                  <w:tcW w:w="1710" w:type="dxa"/>
                  <w:gridSpan w:val="2"/>
                  <w:tcBorders>
                    <w:tl2br w:val="nil"/>
                    <w:tr2bl w:val="nil"/>
                  </w:tcBorders>
                  <w:vAlign w:val="center"/>
                </w:tcPr>
                <w:p>
                  <w:pPr>
                    <w:widowControl w:val="0"/>
                    <w:spacing w:after="0" w:afterLines="0" w:line="240" w:lineRule="auto"/>
                    <w:jc w:val="center"/>
                    <w:rPr>
                      <w:rFonts w:hint="default" w:ascii="Times New Roman" w:hAnsi="Times New Roman" w:eastAsia="宋体" w:cs="Times New Roman"/>
                      <w:color w:val="000000"/>
                      <w:sz w:val="21"/>
                      <w:szCs w:val="21"/>
                      <w:vertAlign w:val="baseline"/>
                    </w:rPr>
                  </w:pPr>
                  <w:r>
                    <w:rPr>
                      <w:rFonts w:hint="eastAsia" w:ascii="Times New Roman" w:hAnsi="Times New Roman" w:eastAsia="宋体" w:cs="Times New Roman"/>
                      <w:color w:val="000000"/>
                      <w:sz w:val="21"/>
                      <w:szCs w:val="21"/>
                      <w:vertAlign w:val="baseline"/>
                      <w:lang w:val="en-US" w:eastAsia="zh-CN"/>
                    </w:rPr>
                    <w:t>标准限值</w:t>
                  </w:r>
                </w:p>
              </w:tc>
              <w:tc>
                <w:tcPr>
                  <w:tcW w:w="3331" w:type="dxa"/>
                  <w:vMerge w:val="restart"/>
                  <w:tcBorders>
                    <w:tl2br w:val="nil"/>
                    <w:tr2bl w:val="nil"/>
                  </w:tcBorders>
                  <w:vAlign w:val="center"/>
                </w:tcPr>
                <w:p>
                  <w:pPr>
                    <w:widowControl w:val="0"/>
                    <w:spacing w:after="0" w:afterLines="0" w:line="240" w:lineRule="auto"/>
                    <w:jc w:val="center"/>
                    <w:rPr>
                      <w:rFonts w:hint="eastAsia"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执行标准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7" w:type="dxa"/>
                  <w:vMerge w:val="continue"/>
                  <w:tcBorders>
                    <w:tl2br w:val="nil"/>
                    <w:tr2bl w:val="nil"/>
                  </w:tcBorders>
                  <w:vAlign w:val="center"/>
                </w:tcPr>
                <w:p>
                  <w:pPr>
                    <w:widowControl w:val="0"/>
                    <w:spacing w:after="0" w:afterLines="0" w:line="240" w:lineRule="auto"/>
                    <w:jc w:val="center"/>
                    <w:rPr>
                      <w:rFonts w:hint="default" w:ascii="Times New Roman" w:hAnsi="Times New Roman" w:eastAsia="宋体" w:cs="Times New Roman"/>
                      <w:color w:val="000000"/>
                      <w:sz w:val="21"/>
                      <w:szCs w:val="21"/>
                      <w:vertAlign w:val="baseline"/>
                    </w:rPr>
                  </w:pPr>
                </w:p>
              </w:tc>
              <w:tc>
                <w:tcPr>
                  <w:tcW w:w="1110" w:type="dxa"/>
                  <w:vMerge w:val="continue"/>
                  <w:tcBorders>
                    <w:tl2br w:val="nil"/>
                    <w:tr2bl w:val="nil"/>
                  </w:tcBorders>
                  <w:vAlign w:val="center"/>
                </w:tcPr>
                <w:p>
                  <w:pPr>
                    <w:widowControl w:val="0"/>
                    <w:spacing w:after="0" w:afterLines="0" w:line="240" w:lineRule="auto"/>
                    <w:jc w:val="center"/>
                    <w:rPr>
                      <w:rFonts w:hint="default" w:ascii="Times New Roman" w:hAnsi="Times New Roman" w:eastAsia="宋体" w:cs="Times New Roman"/>
                      <w:color w:val="000000"/>
                      <w:sz w:val="21"/>
                      <w:szCs w:val="21"/>
                      <w:vertAlign w:val="baseline"/>
                    </w:rPr>
                  </w:pPr>
                </w:p>
              </w:tc>
              <w:tc>
                <w:tcPr>
                  <w:tcW w:w="915" w:type="dxa"/>
                  <w:tcBorders>
                    <w:tl2br w:val="nil"/>
                    <w:tr2bl w:val="nil"/>
                  </w:tcBorders>
                  <w:vAlign w:val="center"/>
                </w:tcPr>
                <w:p>
                  <w:pPr>
                    <w:widowControl w:val="0"/>
                    <w:spacing w:after="0" w:afterLines="0" w:line="240" w:lineRule="auto"/>
                    <w:jc w:val="center"/>
                    <w:rPr>
                      <w:rFonts w:hint="eastAsia"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昼间</w:t>
                  </w:r>
                </w:p>
              </w:tc>
              <w:tc>
                <w:tcPr>
                  <w:tcW w:w="795" w:type="dxa"/>
                  <w:tcBorders>
                    <w:tl2br w:val="nil"/>
                    <w:tr2bl w:val="nil"/>
                  </w:tcBorders>
                  <w:vAlign w:val="center"/>
                </w:tcPr>
                <w:p>
                  <w:pPr>
                    <w:widowControl w:val="0"/>
                    <w:spacing w:after="0" w:afterLines="0" w:line="240" w:lineRule="auto"/>
                    <w:jc w:val="center"/>
                    <w:rPr>
                      <w:rFonts w:hint="eastAsia"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夜间</w:t>
                  </w:r>
                </w:p>
              </w:tc>
              <w:tc>
                <w:tcPr>
                  <w:tcW w:w="3331" w:type="dxa"/>
                  <w:vMerge w:val="continue"/>
                  <w:tcBorders>
                    <w:tl2br w:val="nil"/>
                    <w:tr2bl w:val="nil"/>
                  </w:tcBorders>
                  <w:vAlign w:val="center"/>
                </w:tcPr>
                <w:p>
                  <w:pPr>
                    <w:widowControl w:val="0"/>
                    <w:spacing w:after="0" w:afterLines="0" w:line="240" w:lineRule="auto"/>
                    <w:jc w:val="center"/>
                    <w:rPr>
                      <w:rFonts w:hint="default" w:ascii="Times New Roman" w:hAnsi="Times New Roman" w:eastAsia="宋体" w:cs="Times New Roman"/>
                      <w:color w:val="000000"/>
                      <w:sz w:val="21"/>
                      <w:szCs w:val="21"/>
                      <w:vertAlign w:val="baseli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7" w:type="dxa"/>
                  <w:tcBorders>
                    <w:tl2br w:val="nil"/>
                    <w:tr2bl w:val="nil"/>
                  </w:tcBorders>
                  <w:vAlign w:val="center"/>
                </w:tcPr>
                <w:p>
                  <w:pPr>
                    <w:widowControl w:val="0"/>
                    <w:spacing w:after="0" w:afterLines="0" w:line="240" w:lineRule="auto"/>
                    <w:jc w:val="center"/>
                    <w:rPr>
                      <w:rFonts w:hint="eastAsia"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水厂</w:t>
                  </w:r>
                </w:p>
              </w:tc>
              <w:tc>
                <w:tcPr>
                  <w:tcW w:w="1110" w:type="dxa"/>
                  <w:tcBorders>
                    <w:tl2br w:val="nil"/>
                    <w:tr2bl w:val="nil"/>
                  </w:tcBorders>
                  <w:vAlign w:val="center"/>
                </w:tcPr>
                <w:p>
                  <w:pPr>
                    <w:widowControl w:val="0"/>
                    <w:spacing w:after="0" w:afterLines="0" w:line="240" w:lineRule="auto"/>
                    <w:jc w:val="center"/>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厂界噪声</w:t>
                  </w:r>
                </w:p>
              </w:tc>
              <w:tc>
                <w:tcPr>
                  <w:tcW w:w="915" w:type="dxa"/>
                  <w:tcBorders>
                    <w:tl2br w:val="nil"/>
                    <w:tr2bl w:val="nil"/>
                  </w:tcBorders>
                  <w:vAlign w:val="center"/>
                </w:tcPr>
                <w:p>
                  <w:pPr>
                    <w:widowControl w:val="0"/>
                    <w:spacing w:after="0" w:afterLines="0" w:line="240" w:lineRule="auto"/>
                    <w:jc w:val="center"/>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60</w:t>
                  </w:r>
                </w:p>
              </w:tc>
              <w:tc>
                <w:tcPr>
                  <w:tcW w:w="795" w:type="dxa"/>
                  <w:tcBorders>
                    <w:tl2br w:val="nil"/>
                    <w:tr2bl w:val="nil"/>
                  </w:tcBorders>
                  <w:vAlign w:val="center"/>
                </w:tcPr>
                <w:p>
                  <w:pPr>
                    <w:widowControl w:val="0"/>
                    <w:spacing w:after="0" w:afterLines="0" w:line="240" w:lineRule="auto"/>
                    <w:jc w:val="center"/>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50</w:t>
                  </w:r>
                </w:p>
              </w:tc>
              <w:tc>
                <w:tcPr>
                  <w:tcW w:w="3331" w:type="dxa"/>
                  <w:tcBorders>
                    <w:tl2br w:val="nil"/>
                    <w:tr2bl w:val="nil"/>
                  </w:tcBorders>
                  <w:vAlign w:val="center"/>
                </w:tcPr>
                <w:p>
                  <w:pPr>
                    <w:widowControl w:val="0"/>
                    <w:spacing w:after="0" w:afterLines="0" w:line="240" w:lineRule="auto"/>
                    <w:jc w:val="center"/>
                    <w:rPr>
                      <w:rFonts w:hint="default" w:ascii="Times New Roman" w:hAnsi="Times New Roman" w:eastAsia="宋体" w:cs="Times New Roman"/>
                      <w:color w:val="000000"/>
                      <w:sz w:val="21"/>
                      <w:szCs w:val="21"/>
                      <w:vertAlign w:val="baseline"/>
                    </w:rPr>
                  </w:pPr>
                  <w:r>
                    <w:rPr>
                      <w:rFonts w:hint="default" w:ascii="Times New Roman" w:hAnsi="Times New Roman" w:eastAsia="宋体" w:cs="Times New Roman"/>
                      <w:color w:val="000000"/>
                      <w:sz w:val="21"/>
                      <w:szCs w:val="21"/>
                      <w:vertAlign w:val="baseline"/>
                    </w:rPr>
                    <w:t>《工业企业厂界环境噪声排放标准》(GB12348-2008)</w:t>
                  </w:r>
                  <w:r>
                    <w:rPr>
                      <w:rFonts w:hint="eastAsia" w:ascii="Times New Roman" w:hAnsi="Times New Roman" w:eastAsia="宋体" w:cs="Times New Roman"/>
                      <w:color w:val="000000"/>
                      <w:sz w:val="21"/>
                      <w:szCs w:val="21"/>
                      <w:vertAlign w:val="baseline"/>
                      <w:lang w:val="en-US" w:eastAsia="zh-CN"/>
                    </w:rPr>
                    <w:t>2</w:t>
                  </w:r>
                  <w:r>
                    <w:rPr>
                      <w:rFonts w:hint="default" w:ascii="Times New Roman" w:hAnsi="Times New Roman" w:eastAsia="宋体" w:cs="Times New Roman"/>
                      <w:color w:val="000000"/>
                      <w:sz w:val="21"/>
                      <w:szCs w:val="21"/>
                      <w:vertAlign w:val="baseline"/>
                    </w:rPr>
                    <w:t>类区标准</w:t>
                  </w:r>
                </w:p>
              </w:tc>
            </w:tr>
          </w:tbl>
          <w:p>
            <w:pPr>
              <w:keepNext w:val="0"/>
              <w:keepLines w:val="0"/>
              <w:pageBreakBefore w:val="0"/>
              <w:widowControl/>
              <w:kinsoku/>
              <w:wordWrap/>
              <w:overflowPunct/>
              <w:topLinePunct w:val="0"/>
              <w:autoSpaceDE/>
              <w:autoSpaceDN/>
              <w:bidi w:val="0"/>
              <w:adjustRightInd w:val="0"/>
              <w:snapToGrid w:val="0"/>
              <w:spacing w:before="181" w:beforeLines="50" w:after="0" w:afterLines="0" w:line="360" w:lineRule="auto"/>
              <w:jc w:val="both"/>
              <w:textAlignment w:val="auto"/>
              <w:rPr>
                <w:rFonts w:hint="default" w:ascii="Times New Roman" w:hAnsi="Times New Roman" w:eastAsia="楷体" w:cs="Times New Roman"/>
                <w:b/>
                <w:bCs/>
                <w:color w:val="000000"/>
                <w:sz w:val="28"/>
                <w:szCs w:val="28"/>
              </w:rPr>
            </w:pPr>
            <w:r>
              <w:rPr>
                <w:rFonts w:hint="default" w:ascii="Times New Roman" w:hAnsi="Times New Roman" w:eastAsia="楷体" w:cs="Times New Roman"/>
                <w:b/>
                <w:bCs/>
                <w:color w:val="000000"/>
                <w:sz w:val="28"/>
                <w:szCs w:val="28"/>
              </w:rPr>
              <w:t>1.2.</w:t>
            </w:r>
            <w:r>
              <w:rPr>
                <w:rFonts w:hint="eastAsia" w:ascii="Times New Roman" w:hAnsi="Times New Roman" w:eastAsia="楷体" w:cs="Times New Roman"/>
                <w:b/>
                <w:bCs/>
                <w:color w:val="000000"/>
                <w:sz w:val="28"/>
                <w:szCs w:val="28"/>
                <w:lang w:val="en-US" w:eastAsia="zh-CN"/>
              </w:rPr>
              <w:t>2</w:t>
            </w:r>
            <w:r>
              <w:rPr>
                <w:rFonts w:hint="default" w:ascii="Times New Roman" w:hAnsi="Times New Roman" w:eastAsia="楷体" w:cs="Times New Roman"/>
                <w:b/>
                <w:bCs/>
                <w:color w:val="000000"/>
                <w:sz w:val="28"/>
                <w:szCs w:val="28"/>
              </w:rPr>
              <w:t>固体废物</w:t>
            </w:r>
          </w:p>
          <w:p>
            <w:pPr>
              <w:spacing w:after="0" w:afterLines="0" w:line="360" w:lineRule="auto"/>
              <w:ind w:firstLine="480" w:firstLineChars="200"/>
              <w:jc w:val="both"/>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一般工业固体废物执行《一般工业固体废物贮存和填埋污染控制标准》（GB18599-2020）。</w:t>
            </w:r>
          </w:p>
        </w:tc>
      </w:tr>
    </w:tbl>
    <w:p>
      <w:pPr>
        <w:spacing w:after="0" w:afterLines="0" w:line="360" w:lineRule="auto"/>
        <w:rPr>
          <w:rFonts w:eastAsia="仿宋_GB2312"/>
          <w:b/>
          <w:color w:val="000000"/>
          <w:sz w:val="24"/>
          <w:szCs w:val="24"/>
        </w:rPr>
        <w:sectPr>
          <w:footerReference r:id="rId5" w:type="default"/>
          <w:pgSz w:w="11906" w:h="16838"/>
          <w:pgMar w:top="1440" w:right="1800" w:bottom="1440" w:left="1800" w:header="708" w:footer="708" w:gutter="0"/>
          <w:pgBorders>
            <w:top w:val="none" w:sz="0" w:space="0"/>
            <w:left w:val="none" w:sz="0" w:space="0"/>
            <w:bottom w:val="none" w:sz="0" w:space="0"/>
            <w:right w:val="none" w:sz="0" w:space="0"/>
          </w:pgBorders>
          <w:pgNumType w:fmt="decimal" w:start="1"/>
          <w:cols w:space="720" w:num="1"/>
          <w:docGrid w:linePitch="360" w:charSpace="0"/>
        </w:sectPr>
      </w:pPr>
    </w:p>
    <w:p>
      <w:pPr>
        <w:spacing w:after="0" w:afterLines="0" w:line="360" w:lineRule="auto"/>
        <w:rPr>
          <w:rFonts w:hint="eastAsia" w:eastAsia="仿宋_GB2312"/>
          <w:b/>
          <w:color w:val="000000"/>
          <w:sz w:val="24"/>
          <w:szCs w:val="24"/>
        </w:rPr>
      </w:pPr>
      <w:r>
        <w:rPr>
          <w:rFonts w:eastAsia="仿宋_GB2312"/>
          <w:b/>
          <w:color w:val="000000"/>
          <w:sz w:val="24"/>
          <w:szCs w:val="24"/>
        </w:rPr>
        <w:t>表二</w:t>
      </w:r>
    </w:p>
    <w:tbl>
      <w:tblPr>
        <w:tblStyle w:val="10"/>
        <w:tblW w:w="902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44" w:hRule="atLeast"/>
          <w:jc w:val="center"/>
        </w:trPr>
        <w:tc>
          <w:tcPr>
            <w:tcW w:w="9028" w:type="dxa"/>
            <w:noWrap w:val="0"/>
            <w:vAlign w:val="top"/>
          </w:tcPr>
          <w:p>
            <w:pPr>
              <w:spacing w:after="0" w:afterLines="0" w:line="360" w:lineRule="auto"/>
              <w:jc w:val="both"/>
              <w:rPr>
                <w:rFonts w:hint="default" w:ascii="Times New Roman" w:hAnsi="Times New Roman" w:eastAsia="楷体" w:cs="Times New Roman"/>
                <w:b/>
                <w:bCs/>
                <w:color w:val="000000"/>
                <w:sz w:val="28"/>
                <w:szCs w:val="28"/>
              </w:rPr>
            </w:pPr>
            <w:r>
              <w:rPr>
                <w:rFonts w:hint="eastAsia" w:ascii="Times New Roman" w:hAnsi="Times New Roman" w:eastAsia="楷体" w:cs="Times New Roman"/>
                <w:b/>
                <w:bCs/>
                <w:color w:val="000000"/>
                <w:sz w:val="28"/>
                <w:szCs w:val="28"/>
                <w:lang w:val="en-US" w:eastAsia="zh-CN"/>
              </w:rPr>
              <w:t xml:space="preserve">2.1 </w:t>
            </w:r>
            <w:r>
              <w:rPr>
                <w:rFonts w:hint="default" w:ascii="Times New Roman" w:hAnsi="Times New Roman" w:eastAsia="楷体" w:cs="Times New Roman"/>
                <w:b/>
                <w:bCs/>
                <w:color w:val="000000"/>
                <w:sz w:val="28"/>
                <w:szCs w:val="28"/>
              </w:rPr>
              <w:t>工程建设内容：</w:t>
            </w:r>
          </w:p>
          <w:p>
            <w:pPr>
              <w:spacing w:after="0" w:afterLines="0" w:line="360" w:lineRule="auto"/>
              <w:jc w:val="both"/>
              <w:rPr>
                <w:rFonts w:hint="default" w:ascii="Times New Roman" w:hAnsi="Times New Roman" w:eastAsia="楷体" w:cs="Times New Roman"/>
                <w:b/>
                <w:bCs/>
                <w:color w:val="000000"/>
                <w:sz w:val="28"/>
                <w:szCs w:val="28"/>
              </w:rPr>
            </w:pPr>
            <w:r>
              <w:rPr>
                <w:rFonts w:hint="eastAsia" w:ascii="Times New Roman" w:hAnsi="Times New Roman" w:eastAsia="楷体" w:cs="Times New Roman"/>
                <w:b/>
                <w:bCs/>
                <w:color w:val="000000"/>
                <w:sz w:val="28"/>
                <w:szCs w:val="28"/>
                <w:lang w:val="en-US" w:eastAsia="zh-CN"/>
              </w:rPr>
              <w:t>2.</w:t>
            </w:r>
            <w:r>
              <w:rPr>
                <w:rFonts w:hint="default" w:ascii="Times New Roman" w:hAnsi="Times New Roman" w:eastAsia="楷体" w:cs="Times New Roman"/>
                <w:b/>
                <w:bCs/>
                <w:color w:val="000000"/>
                <w:sz w:val="28"/>
                <w:szCs w:val="28"/>
              </w:rPr>
              <w:t>1</w:t>
            </w:r>
            <w:r>
              <w:rPr>
                <w:rFonts w:hint="eastAsia" w:ascii="Times New Roman" w:hAnsi="Times New Roman" w:eastAsia="楷体" w:cs="Times New Roman"/>
                <w:b/>
                <w:bCs/>
                <w:color w:val="000000"/>
                <w:sz w:val="28"/>
                <w:szCs w:val="28"/>
                <w:lang w:val="en-US" w:eastAsia="zh-CN"/>
              </w:rPr>
              <w:t xml:space="preserve">.1 </w:t>
            </w:r>
            <w:r>
              <w:rPr>
                <w:rFonts w:hint="default" w:ascii="Times New Roman" w:hAnsi="Times New Roman" w:eastAsia="楷体" w:cs="Times New Roman"/>
                <w:b/>
                <w:bCs/>
                <w:color w:val="000000"/>
                <w:sz w:val="28"/>
                <w:szCs w:val="28"/>
              </w:rPr>
              <w:t>建设项目名称、性质、地点</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项目名称：</w:t>
            </w:r>
            <w:r>
              <w:rPr>
                <w:rFonts w:hint="default" w:ascii="Times New Roman" w:hAnsi="Times New Roman" w:eastAsia="宋体" w:cs="Times New Roman"/>
                <w:color w:val="000000"/>
                <w:sz w:val="24"/>
                <w:szCs w:val="24"/>
                <w:lang w:val="en-US" w:eastAsia="zh-CN"/>
              </w:rPr>
              <w:t>南州尖扎县措周乡净化水厂建设项目</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rPr>
              <w:t>建设单位：尖扎县水利工程建设项目办公室</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建设性质：新建</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rPr>
              <w:t>建设地点：青海省黄南藏族自治州尖扎县</w:t>
            </w:r>
            <w:r>
              <w:rPr>
                <w:rFonts w:hint="default" w:ascii="Times New Roman" w:hAnsi="Times New Roman" w:eastAsia="宋体" w:cs="Times New Roman"/>
                <w:color w:val="000000"/>
                <w:sz w:val="24"/>
                <w:szCs w:val="24"/>
                <w:lang w:val="en-US" w:eastAsia="zh-CN"/>
              </w:rPr>
              <w:t>措周乡</w:t>
            </w:r>
          </w:p>
          <w:p>
            <w:pPr>
              <w:spacing w:after="0" w:afterLines="0" w:line="360" w:lineRule="auto"/>
              <w:jc w:val="both"/>
              <w:rPr>
                <w:rFonts w:hint="default" w:ascii="Times New Roman" w:hAnsi="Times New Roman" w:eastAsia="楷体" w:cs="Times New Roman"/>
                <w:b/>
                <w:bCs/>
                <w:color w:val="000000"/>
                <w:sz w:val="28"/>
                <w:szCs w:val="28"/>
              </w:rPr>
            </w:pPr>
            <w:r>
              <w:rPr>
                <w:rFonts w:hint="eastAsia" w:ascii="Times New Roman" w:hAnsi="Times New Roman" w:eastAsia="楷体" w:cs="Times New Roman"/>
                <w:b/>
                <w:bCs/>
                <w:color w:val="000000"/>
                <w:sz w:val="28"/>
                <w:szCs w:val="28"/>
                <w:lang w:val="en-US" w:eastAsia="zh-CN"/>
              </w:rPr>
              <w:t xml:space="preserve">2.1.2 </w:t>
            </w:r>
            <w:r>
              <w:rPr>
                <w:rFonts w:hint="default" w:ascii="Times New Roman" w:hAnsi="Times New Roman" w:eastAsia="楷体" w:cs="Times New Roman"/>
                <w:b/>
                <w:bCs/>
                <w:color w:val="000000"/>
                <w:sz w:val="28"/>
                <w:szCs w:val="28"/>
              </w:rPr>
              <w:t>建设内容及项目组成</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工程主要建设内容：</w:t>
            </w:r>
            <w:r>
              <w:rPr>
                <w:rFonts w:hint="default" w:ascii="Times New Roman" w:hAnsi="Times New Roman" w:eastAsia="宋体" w:cs="Times New Roman"/>
                <w:bCs/>
                <w:sz w:val="24"/>
                <w:highlight w:val="none"/>
              </w:rPr>
              <w:t>新建200t预沉池1座，集成一体化水厂1座，建设用地总面积549.4m</w:t>
            </w:r>
            <w:r>
              <w:rPr>
                <w:rFonts w:hint="default" w:ascii="Times New Roman" w:hAnsi="Times New Roman" w:eastAsia="宋体" w:cs="Times New Roman"/>
                <w:bCs/>
                <w:sz w:val="24"/>
                <w:highlight w:val="none"/>
                <w:vertAlign w:val="superscript"/>
              </w:rPr>
              <w:t>2</w:t>
            </w:r>
            <w:r>
              <w:rPr>
                <w:rFonts w:hint="default" w:ascii="Times New Roman" w:hAnsi="Times New Roman" w:eastAsia="宋体" w:cs="Times New Roman"/>
                <w:bCs/>
                <w:sz w:val="24"/>
                <w:highlight w:val="none"/>
              </w:rPr>
              <w:t>（其中，建筑物用地面积221.8m</w:t>
            </w:r>
            <w:r>
              <w:rPr>
                <w:rFonts w:hint="default" w:ascii="Times New Roman" w:hAnsi="Times New Roman" w:eastAsia="宋体" w:cs="Times New Roman"/>
                <w:bCs/>
                <w:sz w:val="24"/>
                <w:highlight w:val="none"/>
                <w:vertAlign w:val="superscript"/>
              </w:rPr>
              <w:t>2</w:t>
            </w:r>
            <w:r>
              <w:rPr>
                <w:rFonts w:hint="default" w:ascii="Times New Roman" w:hAnsi="Times New Roman" w:eastAsia="宋体" w:cs="Times New Roman"/>
                <w:bCs/>
                <w:sz w:val="24"/>
                <w:highlight w:val="none"/>
              </w:rPr>
              <w:t>，绿化用地面积119.0m</w:t>
            </w:r>
            <w:r>
              <w:rPr>
                <w:rFonts w:hint="default" w:ascii="Times New Roman" w:hAnsi="Times New Roman" w:eastAsia="宋体" w:cs="Times New Roman"/>
                <w:bCs/>
                <w:sz w:val="24"/>
                <w:highlight w:val="none"/>
                <w:vertAlign w:val="superscript"/>
              </w:rPr>
              <w:t>2</w:t>
            </w:r>
            <w:r>
              <w:rPr>
                <w:rFonts w:hint="default" w:ascii="Times New Roman" w:hAnsi="Times New Roman" w:eastAsia="宋体" w:cs="Times New Roman"/>
                <w:bCs/>
                <w:sz w:val="24"/>
                <w:highlight w:val="none"/>
              </w:rPr>
              <w:t>，厂内地坪208.6m</w:t>
            </w:r>
            <w:r>
              <w:rPr>
                <w:rFonts w:hint="default" w:ascii="Times New Roman" w:hAnsi="Times New Roman" w:eastAsia="宋体" w:cs="Times New Roman"/>
                <w:bCs/>
                <w:sz w:val="24"/>
                <w:highlight w:val="none"/>
                <w:vertAlign w:val="superscript"/>
              </w:rPr>
              <w:t>2</w:t>
            </w:r>
            <w:r>
              <w:rPr>
                <w:rFonts w:hint="default" w:ascii="Times New Roman" w:hAnsi="Times New Roman" w:eastAsia="宋体" w:cs="Times New Roman"/>
                <w:bCs/>
                <w:sz w:val="24"/>
                <w:highlight w:val="none"/>
              </w:rPr>
              <w:t>），院落围墙95m，场外道路10m。新建150t清水池1座，闸室1座，分水井2座，铺设Φ225PE100引水管道199m、Φ225PE100溢流管125m，Φ400钢带增强聚乙烯螺旋波纹排水管道507m。</w:t>
            </w:r>
            <w:r>
              <w:rPr>
                <w:rFonts w:hint="eastAsia" w:ascii="Times New Roman" w:hAnsi="Times New Roman" w:eastAsia="宋体" w:cs="Times New Roman"/>
                <w:color w:val="000000"/>
                <w:sz w:val="24"/>
                <w:szCs w:val="24"/>
                <w:lang w:val="en-US" w:eastAsia="zh-CN"/>
              </w:rPr>
              <w:t>本项目环评阶段建设与实际</w:t>
            </w:r>
            <w:r>
              <w:rPr>
                <w:rFonts w:hint="default" w:ascii="Times New Roman" w:hAnsi="Times New Roman" w:eastAsia="宋体" w:cs="Times New Roman"/>
                <w:color w:val="000000"/>
                <w:sz w:val="24"/>
                <w:szCs w:val="24"/>
              </w:rPr>
              <w:t>建设内容</w:t>
            </w:r>
            <w:r>
              <w:rPr>
                <w:rFonts w:hint="eastAsia" w:ascii="Times New Roman" w:hAnsi="Times New Roman" w:eastAsia="宋体" w:cs="Times New Roman"/>
                <w:color w:val="000000"/>
                <w:sz w:val="24"/>
                <w:szCs w:val="24"/>
                <w:lang w:val="en-US" w:eastAsia="zh-CN"/>
              </w:rPr>
              <w:t>分析</w:t>
            </w:r>
            <w:r>
              <w:rPr>
                <w:rFonts w:hint="default" w:ascii="Times New Roman" w:hAnsi="Times New Roman" w:eastAsia="宋体" w:cs="Times New Roman"/>
                <w:color w:val="000000"/>
                <w:sz w:val="24"/>
                <w:szCs w:val="24"/>
              </w:rPr>
              <w:t>详见表</w:t>
            </w:r>
            <w:r>
              <w:rPr>
                <w:rFonts w:hint="eastAsia" w:ascii="Times New Roman" w:hAnsi="Times New Roman" w:eastAsia="宋体" w:cs="Times New Roman"/>
                <w:color w:val="000000"/>
                <w:sz w:val="24"/>
                <w:szCs w:val="24"/>
                <w:lang w:val="en-US" w:eastAsia="zh-CN"/>
              </w:rPr>
              <w:t>2-1</w:t>
            </w:r>
            <w:r>
              <w:rPr>
                <w:rFonts w:hint="default" w:ascii="Times New Roman" w:hAnsi="Times New Roman" w:eastAsia="宋体" w:cs="Times New Roman"/>
                <w:color w:val="000000"/>
                <w:sz w:val="24"/>
                <w:szCs w:val="24"/>
              </w:rPr>
              <w:t>。</w:t>
            </w:r>
          </w:p>
          <w:p>
            <w:pPr>
              <w:keepNext w:val="0"/>
              <w:keepLines w:val="0"/>
              <w:pageBreakBefore w:val="0"/>
              <w:widowControl/>
              <w:kinsoku/>
              <w:wordWrap/>
              <w:overflowPunct/>
              <w:topLinePunct w:val="0"/>
              <w:autoSpaceDE/>
              <w:autoSpaceDN/>
              <w:bidi w:val="0"/>
              <w:adjustRightInd w:val="0"/>
              <w:snapToGrid w:val="0"/>
              <w:spacing w:after="0" w:afterLines="0" w:line="360" w:lineRule="auto"/>
              <w:jc w:val="both"/>
              <w:textAlignment w:val="auto"/>
              <w:rPr>
                <w:rFonts w:hint="default" w:ascii="Times New Roman" w:hAnsi="Times New Roman" w:eastAsia="楷体" w:cs="Times New Roman"/>
                <w:b/>
                <w:bCs/>
                <w:color w:val="000000"/>
                <w:sz w:val="28"/>
                <w:szCs w:val="28"/>
              </w:rPr>
            </w:pPr>
            <w:r>
              <w:rPr>
                <w:rFonts w:hint="eastAsia" w:ascii="Times New Roman" w:hAnsi="Times New Roman" w:eastAsia="楷体" w:cs="Times New Roman"/>
                <w:b/>
                <w:bCs/>
                <w:color w:val="000000"/>
                <w:sz w:val="28"/>
                <w:szCs w:val="28"/>
                <w:lang w:val="en-US" w:eastAsia="zh-CN"/>
              </w:rPr>
              <w:t xml:space="preserve">2.2 </w:t>
            </w:r>
            <w:r>
              <w:rPr>
                <w:rFonts w:hint="default" w:ascii="Times New Roman" w:hAnsi="Times New Roman" w:eastAsia="楷体" w:cs="Times New Roman"/>
                <w:b/>
                <w:bCs/>
                <w:color w:val="000000"/>
                <w:sz w:val="28"/>
                <w:szCs w:val="28"/>
              </w:rPr>
              <w:t>总平面布置</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工程在已建项目主管道上游段那卡社</w:t>
            </w:r>
            <w:r>
              <w:rPr>
                <w:rFonts w:hint="default" w:ascii="Times New Roman" w:hAnsi="Times New Roman" w:eastAsia="宋体" w:cs="Times New Roman"/>
                <w:color w:val="000000"/>
                <w:sz w:val="24"/>
                <w:szCs w:val="24"/>
                <w:lang w:val="en-US" w:eastAsia="zh-CN"/>
              </w:rPr>
              <w:t>南</w:t>
            </w:r>
            <w:r>
              <w:rPr>
                <w:rFonts w:hint="default" w:ascii="Times New Roman" w:hAnsi="Times New Roman" w:eastAsia="宋体" w:cs="Times New Roman"/>
                <w:color w:val="000000"/>
                <w:sz w:val="24"/>
                <w:szCs w:val="24"/>
              </w:rPr>
              <w:t>侧新建200t预沉池1座，在预沉池下游300m处布设800t/d集成一体式净化水厂，净化水厂产出水至150t清水池。清水池前布置1座闸室，闸室主要控制水厂反洗及自用水系统。本次利用原工程供水管道接入下游各村现状蓄水池进行调蓄，再利用已建配套管网自流入户。</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项目临时施工场地在水厂永久占地内进行规划布置，不新增临时占地。取水管线、供水管线均利用原有设施，不新增，本项目无临时占地。</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000000"/>
                <w:sz w:val="24"/>
                <w:szCs w:val="24"/>
              </w:rPr>
            </w:pPr>
          </w:p>
        </w:tc>
      </w:tr>
    </w:tbl>
    <w:p>
      <w:pPr>
        <w:spacing w:line="360" w:lineRule="auto"/>
        <w:rPr>
          <w:rFonts w:eastAsia="仿宋_GB2312"/>
          <w:color w:val="000000"/>
          <w:sz w:val="21"/>
          <w:szCs w:val="21"/>
        </w:rPr>
        <w:sectPr>
          <w:pgSz w:w="11906" w:h="16838"/>
          <w:pgMar w:top="1440" w:right="1800" w:bottom="1440" w:left="1800" w:header="708" w:footer="708" w:gutter="0"/>
          <w:pgBorders>
            <w:top w:val="none" w:sz="0" w:space="0"/>
            <w:left w:val="none" w:sz="0" w:space="0"/>
            <w:bottom w:val="none" w:sz="0" w:space="0"/>
            <w:right w:val="none" w:sz="0" w:space="0"/>
          </w:pgBorders>
          <w:pgNumType w:fmt="decimal"/>
          <w:cols w:space="720" w:num="1"/>
          <w:docGrid w:linePitch="360" w:charSpace="0"/>
        </w:sectPr>
      </w:pPr>
    </w:p>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表</w:t>
      </w:r>
      <w:r>
        <w:rPr>
          <w:rFonts w:hint="eastAsia" w:ascii="Times New Roman" w:hAnsi="Times New Roman" w:eastAsia="宋体" w:cs="Times New Roman"/>
          <w:b/>
          <w:bCs/>
          <w:color w:val="000000"/>
          <w:sz w:val="21"/>
          <w:szCs w:val="21"/>
          <w:lang w:val="en-US" w:eastAsia="zh-CN"/>
        </w:rPr>
        <w:t>2-1</w:t>
      </w:r>
      <w:r>
        <w:rPr>
          <w:rFonts w:hint="default" w:ascii="Times New Roman" w:hAnsi="Times New Roman" w:eastAsia="宋体" w:cs="Times New Roman"/>
          <w:b/>
          <w:bCs/>
          <w:color w:val="000000"/>
          <w:sz w:val="21"/>
          <w:szCs w:val="21"/>
        </w:rPr>
        <w:t xml:space="preserve">  项目组成及主要建设内容一览表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420"/>
        <w:gridCol w:w="1079"/>
        <w:gridCol w:w="1"/>
        <w:gridCol w:w="5352"/>
        <w:gridCol w:w="5046"/>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工程类别</w:t>
            </w:r>
          </w:p>
        </w:tc>
        <w:tc>
          <w:tcPr>
            <w:tcW w:w="1500"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项目内容</w:t>
            </w:r>
          </w:p>
        </w:tc>
        <w:tc>
          <w:tcPr>
            <w:tcW w:w="5352"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主要建设内容</w:t>
            </w:r>
          </w:p>
        </w:tc>
        <w:tc>
          <w:tcPr>
            <w:tcW w:w="5046"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实际建设内容</w:t>
            </w:r>
          </w:p>
        </w:tc>
        <w:tc>
          <w:tcPr>
            <w:tcW w:w="1026"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主体工程</w:t>
            </w:r>
          </w:p>
        </w:tc>
        <w:tc>
          <w:tcPr>
            <w:tcW w:w="420"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水厂</w:t>
            </w:r>
          </w:p>
        </w:tc>
        <w:tc>
          <w:tcPr>
            <w:tcW w:w="1080"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集成式一体化设备</w:t>
            </w:r>
          </w:p>
        </w:tc>
        <w:tc>
          <w:tcPr>
            <w:tcW w:w="5352"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rPr>
              <w:t>网格絮凝池</w:t>
            </w:r>
            <w:r>
              <w:rPr>
                <w:rFonts w:hint="default" w:ascii="Times New Roman" w:hAnsi="Times New Roman" w:eastAsia="宋体" w:cs="Times New Roman"/>
                <w:bCs/>
                <w:sz w:val="21"/>
                <w:szCs w:val="21"/>
                <w:lang w:eastAsia="zh-CN"/>
              </w:rPr>
              <w:t>、</w:t>
            </w:r>
            <w:r>
              <w:rPr>
                <w:rFonts w:hint="default" w:ascii="Times New Roman" w:hAnsi="Times New Roman" w:eastAsia="宋体" w:cs="Times New Roman"/>
                <w:bCs/>
                <w:sz w:val="21"/>
                <w:szCs w:val="21"/>
              </w:rPr>
              <w:t>斜管沉淀池、深度改进V型滤池过滤池，配以自动加药装置及消毒设备</w:t>
            </w:r>
            <w:r>
              <w:rPr>
                <w:rFonts w:hint="default" w:ascii="Times New Roman" w:hAnsi="Times New Roman" w:eastAsia="宋体" w:cs="Times New Roman"/>
                <w:bCs/>
                <w:sz w:val="21"/>
                <w:szCs w:val="21"/>
                <w:lang w:eastAsia="zh-CN"/>
              </w:rPr>
              <w:t>，</w:t>
            </w:r>
            <w:r>
              <w:rPr>
                <w:rFonts w:hint="default" w:ascii="Times New Roman" w:hAnsi="Times New Roman" w:eastAsia="宋体" w:cs="Times New Roman"/>
                <w:bCs/>
                <w:sz w:val="21"/>
                <w:szCs w:val="21"/>
                <w:lang w:val="en-US" w:eastAsia="zh-CN"/>
              </w:rPr>
              <w:t>出水量为800m</w:t>
            </w:r>
            <w:r>
              <w:rPr>
                <w:rFonts w:hint="default" w:ascii="Times New Roman" w:hAnsi="Times New Roman" w:eastAsia="宋体" w:cs="Times New Roman"/>
                <w:bCs/>
                <w:sz w:val="21"/>
                <w:szCs w:val="21"/>
                <w:vertAlign w:val="superscript"/>
                <w:lang w:val="en-US" w:eastAsia="zh-CN"/>
              </w:rPr>
              <w:t>3</w:t>
            </w:r>
            <w:r>
              <w:rPr>
                <w:rFonts w:hint="default" w:ascii="Times New Roman" w:hAnsi="Times New Roman" w:eastAsia="宋体" w:cs="Times New Roman"/>
                <w:bCs/>
                <w:sz w:val="21"/>
                <w:szCs w:val="21"/>
                <w:lang w:val="en-US" w:eastAsia="zh-CN"/>
              </w:rPr>
              <w:t>/d</w:t>
            </w:r>
          </w:p>
        </w:tc>
        <w:tc>
          <w:tcPr>
            <w:tcW w:w="5046"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bCs/>
                <w:sz w:val="21"/>
                <w:szCs w:val="21"/>
                <w:lang w:val="en-US" w:eastAsia="zh-CN" w:bidi="ar-SA"/>
              </w:rPr>
            </w:pPr>
            <w:r>
              <w:rPr>
                <w:rFonts w:hint="default" w:ascii="Times New Roman" w:hAnsi="Times New Roman" w:eastAsia="宋体" w:cs="Times New Roman"/>
                <w:bCs/>
                <w:sz w:val="21"/>
                <w:szCs w:val="21"/>
              </w:rPr>
              <w:t>网格絮凝池</w:t>
            </w:r>
            <w:r>
              <w:rPr>
                <w:rFonts w:hint="default" w:ascii="Times New Roman" w:hAnsi="Times New Roman" w:eastAsia="宋体" w:cs="Times New Roman"/>
                <w:bCs/>
                <w:sz w:val="21"/>
                <w:szCs w:val="21"/>
                <w:lang w:eastAsia="zh-CN"/>
              </w:rPr>
              <w:t>、</w:t>
            </w:r>
            <w:r>
              <w:rPr>
                <w:rFonts w:hint="default" w:ascii="Times New Roman" w:hAnsi="Times New Roman" w:eastAsia="宋体" w:cs="Times New Roman"/>
                <w:bCs/>
                <w:sz w:val="21"/>
                <w:szCs w:val="21"/>
              </w:rPr>
              <w:t>斜管沉淀池、深度改进V型滤池过滤池，配以自动加药装置及消毒设备</w:t>
            </w:r>
            <w:r>
              <w:rPr>
                <w:rFonts w:hint="default" w:ascii="Times New Roman" w:hAnsi="Times New Roman" w:eastAsia="宋体" w:cs="Times New Roman"/>
                <w:bCs/>
                <w:sz w:val="21"/>
                <w:szCs w:val="21"/>
                <w:lang w:eastAsia="zh-CN"/>
              </w:rPr>
              <w:t>，</w:t>
            </w:r>
            <w:r>
              <w:rPr>
                <w:rFonts w:hint="default" w:ascii="Times New Roman" w:hAnsi="Times New Roman" w:eastAsia="宋体" w:cs="Times New Roman"/>
                <w:bCs/>
                <w:sz w:val="21"/>
                <w:szCs w:val="21"/>
                <w:lang w:val="en-US" w:eastAsia="zh-CN"/>
              </w:rPr>
              <w:t>出水量为800m</w:t>
            </w:r>
            <w:r>
              <w:rPr>
                <w:rFonts w:hint="default" w:ascii="Times New Roman" w:hAnsi="Times New Roman" w:eastAsia="宋体" w:cs="Times New Roman"/>
                <w:bCs/>
                <w:sz w:val="21"/>
                <w:szCs w:val="21"/>
                <w:vertAlign w:val="superscript"/>
                <w:lang w:val="en-US" w:eastAsia="zh-CN"/>
              </w:rPr>
              <w:t>3</w:t>
            </w:r>
            <w:r>
              <w:rPr>
                <w:rFonts w:hint="default" w:ascii="Times New Roman" w:hAnsi="Times New Roman" w:eastAsia="宋体" w:cs="Times New Roman"/>
                <w:bCs/>
                <w:sz w:val="21"/>
                <w:szCs w:val="21"/>
                <w:lang w:val="en-US" w:eastAsia="zh-CN"/>
              </w:rPr>
              <w:t>/d</w:t>
            </w:r>
          </w:p>
        </w:tc>
        <w:tc>
          <w:tcPr>
            <w:tcW w:w="1026"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未变化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bCs/>
                <w:sz w:val="21"/>
                <w:szCs w:val="21"/>
              </w:rPr>
            </w:pPr>
          </w:p>
        </w:tc>
        <w:tc>
          <w:tcPr>
            <w:tcW w:w="42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bCs/>
                <w:sz w:val="21"/>
                <w:szCs w:val="21"/>
              </w:rPr>
            </w:pPr>
          </w:p>
        </w:tc>
        <w:tc>
          <w:tcPr>
            <w:tcW w:w="1080"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预沉池</w:t>
            </w:r>
          </w:p>
        </w:tc>
        <w:tc>
          <w:tcPr>
            <w:tcW w:w="5352" w:type="dxa"/>
            <w:noWrap w:val="0"/>
            <w:vAlign w:val="center"/>
          </w:tcPr>
          <w:p>
            <w:pPr>
              <w:keepNext w:val="0"/>
              <w:keepLines w:val="0"/>
              <w:pageBreakBefore w:val="0"/>
              <w:widowControl/>
              <w:tabs>
                <w:tab w:val="left" w:pos="15"/>
                <w:tab w:val="left" w:pos="1520"/>
              </w:tabs>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200m</w:t>
            </w:r>
            <w:r>
              <w:rPr>
                <w:rFonts w:hint="default" w:ascii="Times New Roman" w:hAnsi="Times New Roman" w:eastAsia="宋体" w:cs="Times New Roman"/>
                <w:bCs/>
                <w:sz w:val="21"/>
                <w:szCs w:val="21"/>
                <w:vertAlign w:val="superscript"/>
                <w:lang w:val="en-US" w:eastAsia="zh-CN"/>
              </w:rPr>
              <w:t>3</w:t>
            </w:r>
            <w:r>
              <w:rPr>
                <w:rFonts w:hint="default" w:ascii="Times New Roman" w:hAnsi="Times New Roman" w:eastAsia="宋体" w:cs="Times New Roman"/>
                <w:bCs/>
                <w:sz w:val="21"/>
                <w:szCs w:val="21"/>
                <w:lang w:val="en-US" w:eastAsia="zh-CN"/>
              </w:rPr>
              <w:t>预沉池1座，圆形钢筋混凝土结构，抗渗等级W6</w:t>
            </w:r>
          </w:p>
        </w:tc>
        <w:tc>
          <w:tcPr>
            <w:tcW w:w="5046" w:type="dxa"/>
            <w:noWrap w:val="0"/>
            <w:vAlign w:val="center"/>
          </w:tcPr>
          <w:p>
            <w:pPr>
              <w:keepNext w:val="0"/>
              <w:keepLines w:val="0"/>
              <w:pageBreakBefore w:val="0"/>
              <w:widowControl/>
              <w:tabs>
                <w:tab w:val="left" w:pos="15"/>
                <w:tab w:val="left" w:pos="1520"/>
              </w:tabs>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bCs/>
                <w:sz w:val="21"/>
                <w:szCs w:val="21"/>
                <w:lang w:val="en-US" w:eastAsia="zh-CN" w:bidi="ar-SA"/>
              </w:rPr>
            </w:pPr>
            <w:r>
              <w:rPr>
                <w:rFonts w:hint="default" w:ascii="Times New Roman" w:hAnsi="Times New Roman" w:eastAsia="宋体" w:cs="Times New Roman"/>
                <w:bCs/>
                <w:sz w:val="21"/>
                <w:szCs w:val="21"/>
                <w:lang w:val="en-US" w:eastAsia="zh-CN"/>
              </w:rPr>
              <w:t>200m</w:t>
            </w:r>
            <w:r>
              <w:rPr>
                <w:rFonts w:hint="default" w:ascii="Times New Roman" w:hAnsi="Times New Roman" w:eastAsia="宋体" w:cs="Times New Roman"/>
                <w:bCs/>
                <w:sz w:val="21"/>
                <w:szCs w:val="21"/>
                <w:vertAlign w:val="superscript"/>
                <w:lang w:val="en-US" w:eastAsia="zh-CN"/>
              </w:rPr>
              <w:t>3</w:t>
            </w:r>
            <w:r>
              <w:rPr>
                <w:rFonts w:hint="default" w:ascii="Times New Roman" w:hAnsi="Times New Roman" w:eastAsia="宋体" w:cs="Times New Roman"/>
                <w:bCs/>
                <w:sz w:val="21"/>
                <w:szCs w:val="21"/>
                <w:lang w:val="en-US" w:eastAsia="zh-CN"/>
              </w:rPr>
              <w:t>预沉池1座，圆形钢筋混凝土结构</w:t>
            </w:r>
          </w:p>
        </w:tc>
        <w:tc>
          <w:tcPr>
            <w:tcW w:w="1026" w:type="dxa"/>
            <w:noWrap w:val="0"/>
            <w:vAlign w:val="center"/>
          </w:tcPr>
          <w:p>
            <w:pPr>
              <w:keepNext w:val="0"/>
              <w:keepLines w:val="0"/>
              <w:pageBreakBefore w:val="0"/>
              <w:widowControl/>
              <w:tabs>
                <w:tab w:val="left" w:pos="15"/>
                <w:tab w:val="left" w:pos="1520"/>
              </w:tabs>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bCs/>
                <w:sz w:val="21"/>
                <w:szCs w:val="21"/>
                <w:lang w:eastAsia="zh-CN"/>
              </w:rPr>
            </w:pPr>
            <w:r>
              <w:rPr>
                <w:rFonts w:hint="eastAsia" w:ascii="Times New Roman" w:hAnsi="Times New Roman" w:eastAsia="宋体" w:cs="Times New Roman"/>
                <w:bCs/>
                <w:sz w:val="21"/>
                <w:szCs w:val="21"/>
                <w:lang w:val="en-US" w:eastAsia="zh-CN"/>
              </w:rPr>
              <w:t>未变化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bCs/>
                <w:sz w:val="21"/>
                <w:szCs w:val="21"/>
              </w:rPr>
            </w:pPr>
          </w:p>
        </w:tc>
        <w:tc>
          <w:tcPr>
            <w:tcW w:w="42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bCs/>
                <w:sz w:val="21"/>
                <w:szCs w:val="21"/>
              </w:rPr>
            </w:pPr>
          </w:p>
        </w:tc>
        <w:tc>
          <w:tcPr>
            <w:tcW w:w="1080"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阀门井</w:t>
            </w:r>
          </w:p>
        </w:tc>
        <w:tc>
          <w:tcPr>
            <w:tcW w:w="5352" w:type="dxa"/>
            <w:noWrap w:val="0"/>
            <w:vAlign w:val="center"/>
          </w:tcPr>
          <w:p>
            <w:pPr>
              <w:keepNext w:val="0"/>
              <w:keepLines w:val="0"/>
              <w:pageBreakBefore w:val="0"/>
              <w:widowControl/>
              <w:tabs>
                <w:tab w:val="left" w:pos="15"/>
              </w:tabs>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rPr>
              <w:t>分水井</w:t>
            </w:r>
            <w:r>
              <w:rPr>
                <w:rFonts w:hint="default" w:ascii="Times New Roman" w:hAnsi="Times New Roman" w:eastAsia="宋体" w:cs="Times New Roman"/>
                <w:bCs/>
                <w:sz w:val="21"/>
                <w:szCs w:val="21"/>
                <w:lang w:val="en-US" w:eastAsia="zh-CN"/>
              </w:rPr>
              <w:t>2</w:t>
            </w:r>
            <w:r>
              <w:rPr>
                <w:rFonts w:hint="default" w:ascii="Times New Roman" w:hAnsi="Times New Roman" w:eastAsia="宋体" w:cs="Times New Roman"/>
                <w:bCs/>
                <w:sz w:val="21"/>
                <w:szCs w:val="21"/>
              </w:rPr>
              <w:t>座</w:t>
            </w:r>
            <w:r>
              <w:rPr>
                <w:rFonts w:hint="default" w:ascii="Times New Roman" w:hAnsi="Times New Roman" w:eastAsia="宋体" w:cs="Times New Roman"/>
                <w:bCs/>
                <w:sz w:val="21"/>
                <w:szCs w:val="21"/>
                <w:lang w:eastAsia="zh-CN"/>
              </w:rPr>
              <w:t>，</w:t>
            </w:r>
            <w:r>
              <w:rPr>
                <w:rFonts w:hint="default" w:ascii="Times New Roman" w:hAnsi="Times New Roman" w:eastAsia="宋体" w:cs="Times New Roman"/>
                <w:bCs/>
                <w:sz w:val="21"/>
                <w:szCs w:val="21"/>
                <w:lang w:val="en-US" w:eastAsia="zh-CN"/>
              </w:rPr>
              <w:t>井深2.0m</w:t>
            </w:r>
          </w:p>
        </w:tc>
        <w:tc>
          <w:tcPr>
            <w:tcW w:w="5046" w:type="dxa"/>
            <w:noWrap w:val="0"/>
            <w:vAlign w:val="center"/>
          </w:tcPr>
          <w:p>
            <w:pPr>
              <w:keepNext w:val="0"/>
              <w:keepLines w:val="0"/>
              <w:pageBreakBefore w:val="0"/>
              <w:widowControl/>
              <w:tabs>
                <w:tab w:val="left" w:pos="15"/>
              </w:tabs>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bCs/>
                <w:sz w:val="21"/>
                <w:szCs w:val="21"/>
                <w:lang w:val="en-US" w:eastAsia="zh-CN" w:bidi="ar-SA"/>
              </w:rPr>
            </w:pPr>
            <w:r>
              <w:rPr>
                <w:rFonts w:hint="default" w:ascii="Times New Roman" w:hAnsi="Times New Roman" w:eastAsia="宋体" w:cs="Times New Roman"/>
                <w:bCs/>
                <w:sz w:val="21"/>
                <w:szCs w:val="21"/>
              </w:rPr>
              <w:t>分水井</w:t>
            </w:r>
            <w:r>
              <w:rPr>
                <w:rFonts w:hint="default" w:ascii="Times New Roman" w:hAnsi="Times New Roman" w:eastAsia="宋体" w:cs="Times New Roman"/>
                <w:bCs/>
                <w:sz w:val="21"/>
                <w:szCs w:val="21"/>
                <w:lang w:val="en-US" w:eastAsia="zh-CN"/>
              </w:rPr>
              <w:t>2</w:t>
            </w:r>
            <w:r>
              <w:rPr>
                <w:rFonts w:hint="default" w:ascii="Times New Roman" w:hAnsi="Times New Roman" w:eastAsia="宋体" w:cs="Times New Roman"/>
                <w:bCs/>
                <w:sz w:val="21"/>
                <w:szCs w:val="21"/>
              </w:rPr>
              <w:t>座</w:t>
            </w:r>
            <w:r>
              <w:rPr>
                <w:rFonts w:hint="default" w:ascii="Times New Roman" w:hAnsi="Times New Roman" w:eastAsia="宋体" w:cs="Times New Roman"/>
                <w:bCs/>
                <w:sz w:val="21"/>
                <w:szCs w:val="21"/>
                <w:lang w:eastAsia="zh-CN"/>
              </w:rPr>
              <w:t>，</w:t>
            </w:r>
            <w:r>
              <w:rPr>
                <w:rFonts w:hint="default" w:ascii="Times New Roman" w:hAnsi="Times New Roman" w:eastAsia="宋体" w:cs="Times New Roman"/>
                <w:bCs/>
                <w:sz w:val="21"/>
                <w:szCs w:val="21"/>
                <w:lang w:val="en-US" w:eastAsia="zh-CN"/>
              </w:rPr>
              <w:t>井深2.0m</w:t>
            </w:r>
          </w:p>
        </w:tc>
        <w:tc>
          <w:tcPr>
            <w:tcW w:w="1026" w:type="dxa"/>
            <w:noWrap w:val="0"/>
            <w:vAlign w:val="center"/>
          </w:tcPr>
          <w:p>
            <w:pPr>
              <w:keepNext w:val="0"/>
              <w:keepLines w:val="0"/>
              <w:pageBreakBefore w:val="0"/>
              <w:widowControl/>
              <w:tabs>
                <w:tab w:val="left" w:pos="15"/>
              </w:tabs>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bCs/>
                <w:sz w:val="21"/>
                <w:szCs w:val="21"/>
              </w:rPr>
            </w:pPr>
            <w:r>
              <w:rPr>
                <w:rFonts w:hint="eastAsia" w:ascii="Times New Roman" w:hAnsi="Times New Roman" w:eastAsia="宋体" w:cs="Times New Roman"/>
                <w:bCs/>
                <w:sz w:val="21"/>
                <w:szCs w:val="21"/>
                <w:lang w:val="en-US" w:eastAsia="zh-CN"/>
              </w:rPr>
              <w:t>未变化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12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bCs/>
                <w:sz w:val="21"/>
                <w:szCs w:val="21"/>
              </w:rPr>
            </w:pPr>
          </w:p>
        </w:tc>
        <w:tc>
          <w:tcPr>
            <w:tcW w:w="42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bCs/>
                <w:sz w:val="21"/>
                <w:szCs w:val="21"/>
              </w:rPr>
            </w:pPr>
          </w:p>
        </w:tc>
        <w:tc>
          <w:tcPr>
            <w:tcW w:w="1080"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自动化控制</w:t>
            </w:r>
          </w:p>
        </w:tc>
        <w:tc>
          <w:tcPr>
            <w:tcW w:w="5352"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主要为主控制PLC控制柜、反洗泵控制柜、PAC加药箱控制柜、PAM加药泵控制柜、供水控制柜、水质监测柜</w:t>
            </w:r>
          </w:p>
        </w:tc>
        <w:tc>
          <w:tcPr>
            <w:tcW w:w="5046"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bCs/>
                <w:sz w:val="21"/>
                <w:szCs w:val="21"/>
                <w:lang w:val="en-US" w:eastAsia="zh-CN" w:bidi="ar-SA"/>
              </w:rPr>
            </w:pPr>
            <w:r>
              <w:rPr>
                <w:rFonts w:hint="default" w:ascii="Times New Roman" w:hAnsi="Times New Roman" w:eastAsia="宋体" w:cs="Times New Roman"/>
                <w:bCs/>
                <w:sz w:val="21"/>
                <w:szCs w:val="21"/>
                <w:lang w:val="en-US" w:eastAsia="zh-CN"/>
              </w:rPr>
              <w:t>主要为主控制PLC控制柜、反洗泵控制柜、PAC加药箱控制柜、PAM加药泵控制柜、供水控制柜、水质监测柜</w:t>
            </w:r>
          </w:p>
        </w:tc>
        <w:tc>
          <w:tcPr>
            <w:tcW w:w="1026"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未变化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bCs/>
                <w:sz w:val="21"/>
                <w:szCs w:val="21"/>
              </w:rPr>
            </w:pPr>
          </w:p>
        </w:tc>
        <w:tc>
          <w:tcPr>
            <w:tcW w:w="1500"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清水池</w:t>
            </w:r>
          </w:p>
        </w:tc>
        <w:tc>
          <w:tcPr>
            <w:tcW w:w="5352"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1座，150t</w:t>
            </w:r>
          </w:p>
        </w:tc>
        <w:tc>
          <w:tcPr>
            <w:tcW w:w="5046"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bCs/>
                <w:sz w:val="21"/>
                <w:szCs w:val="21"/>
                <w:lang w:val="en-US" w:eastAsia="zh-CN" w:bidi="ar-SA"/>
              </w:rPr>
            </w:pPr>
            <w:r>
              <w:rPr>
                <w:rFonts w:hint="default" w:ascii="Times New Roman" w:hAnsi="Times New Roman" w:eastAsia="宋体" w:cs="Times New Roman"/>
                <w:bCs/>
                <w:sz w:val="21"/>
                <w:szCs w:val="21"/>
              </w:rPr>
              <w:t>1座，150t</w:t>
            </w:r>
          </w:p>
        </w:tc>
        <w:tc>
          <w:tcPr>
            <w:tcW w:w="1026"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bCs/>
                <w:sz w:val="21"/>
                <w:szCs w:val="21"/>
              </w:rPr>
            </w:pPr>
            <w:r>
              <w:rPr>
                <w:rFonts w:hint="eastAsia" w:ascii="Times New Roman" w:hAnsi="Times New Roman" w:eastAsia="宋体" w:cs="Times New Roman"/>
                <w:bCs/>
                <w:sz w:val="21"/>
                <w:szCs w:val="21"/>
                <w:lang w:val="en-US" w:eastAsia="zh-CN"/>
              </w:rPr>
              <w:t>未变化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bCs/>
                <w:sz w:val="21"/>
                <w:szCs w:val="21"/>
              </w:rPr>
            </w:pPr>
          </w:p>
        </w:tc>
        <w:tc>
          <w:tcPr>
            <w:tcW w:w="1500"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闸室</w:t>
            </w:r>
          </w:p>
        </w:tc>
        <w:tc>
          <w:tcPr>
            <w:tcW w:w="5352"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清水池进水段布置一座，钢筋</w:t>
            </w:r>
            <w:r>
              <w:rPr>
                <w:rFonts w:hint="default" w:ascii="Times New Roman" w:hAnsi="Times New Roman" w:eastAsia="宋体" w:cs="Times New Roman"/>
                <w:bCs/>
                <w:sz w:val="21"/>
                <w:szCs w:val="21"/>
              </w:rPr>
              <w:t>砼框架结构</w:t>
            </w:r>
          </w:p>
        </w:tc>
        <w:tc>
          <w:tcPr>
            <w:tcW w:w="5046"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bCs/>
                <w:sz w:val="21"/>
                <w:szCs w:val="21"/>
                <w:lang w:val="en-US" w:eastAsia="zh-CN" w:bidi="ar-SA"/>
              </w:rPr>
            </w:pPr>
            <w:r>
              <w:rPr>
                <w:rFonts w:hint="default" w:ascii="Times New Roman" w:hAnsi="Times New Roman" w:eastAsia="宋体" w:cs="Times New Roman"/>
                <w:bCs/>
                <w:sz w:val="21"/>
                <w:szCs w:val="21"/>
                <w:lang w:val="en-US" w:eastAsia="zh-CN"/>
              </w:rPr>
              <w:t>清水池进水段布置一座，钢筋</w:t>
            </w:r>
            <w:r>
              <w:rPr>
                <w:rFonts w:hint="default" w:ascii="Times New Roman" w:hAnsi="Times New Roman" w:eastAsia="宋体" w:cs="Times New Roman"/>
                <w:bCs/>
                <w:sz w:val="21"/>
                <w:szCs w:val="21"/>
              </w:rPr>
              <w:t>砼框架结构</w:t>
            </w:r>
          </w:p>
        </w:tc>
        <w:tc>
          <w:tcPr>
            <w:tcW w:w="1026"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未变化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12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bCs/>
                <w:sz w:val="21"/>
                <w:szCs w:val="21"/>
              </w:rPr>
            </w:pPr>
          </w:p>
        </w:tc>
        <w:tc>
          <w:tcPr>
            <w:tcW w:w="1500"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管道</w:t>
            </w:r>
          </w:p>
        </w:tc>
        <w:tc>
          <w:tcPr>
            <w:tcW w:w="5352"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铺设φ225PE100引水管道199m、φ225PE100溢流管125m，φ400钢带增强聚乙烯螺旋波纹排水管道507m</w:t>
            </w:r>
          </w:p>
        </w:tc>
        <w:tc>
          <w:tcPr>
            <w:tcW w:w="5046"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bCs/>
                <w:sz w:val="21"/>
                <w:szCs w:val="21"/>
                <w:lang w:val="en-US" w:eastAsia="zh-CN" w:bidi="ar-SA"/>
              </w:rPr>
            </w:pPr>
            <w:r>
              <w:rPr>
                <w:rFonts w:hint="default" w:ascii="Times New Roman" w:hAnsi="Times New Roman" w:eastAsia="宋体" w:cs="Times New Roman"/>
                <w:bCs/>
                <w:sz w:val="21"/>
                <w:szCs w:val="21"/>
                <w:lang w:eastAsia="zh-CN"/>
              </w:rPr>
              <w:t>铺设引水管道199m、溢流管125m，钢带增强聚乙烯螺旋波纹排水管道507m</w:t>
            </w:r>
          </w:p>
        </w:tc>
        <w:tc>
          <w:tcPr>
            <w:tcW w:w="1026"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bCs/>
                <w:sz w:val="21"/>
                <w:szCs w:val="21"/>
                <w:lang w:eastAsia="zh-CN"/>
              </w:rPr>
            </w:pPr>
            <w:r>
              <w:rPr>
                <w:rFonts w:hint="eastAsia" w:ascii="Times New Roman" w:hAnsi="Times New Roman" w:eastAsia="宋体" w:cs="Times New Roman"/>
                <w:bCs/>
                <w:sz w:val="21"/>
                <w:szCs w:val="21"/>
                <w:lang w:val="en-US" w:eastAsia="zh-CN"/>
              </w:rPr>
              <w:t>未变化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公用工程</w:t>
            </w:r>
          </w:p>
        </w:tc>
        <w:tc>
          <w:tcPr>
            <w:tcW w:w="1500"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供电</w:t>
            </w:r>
          </w:p>
        </w:tc>
        <w:tc>
          <w:tcPr>
            <w:tcW w:w="5352"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自备发电机发电，能够满足工程建设需要。</w:t>
            </w:r>
          </w:p>
        </w:tc>
        <w:tc>
          <w:tcPr>
            <w:tcW w:w="5046"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bCs/>
                <w:sz w:val="21"/>
                <w:szCs w:val="21"/>
                <w:lang w:val="en-US" w:eastAsia="zh-CN" w:bidi="ar-SA"/>
              </w:rPr>
            </w:pPr>
            <w:r>
              <w:rPr>
                <w:rFonts w:hint="default" w:ascii="Times New Roman" w:hAnsi="Times New Roman" w:eastAsia="宋体" w:cs="Times New Roman"/>
                <w:bCs/>
                <w:sz w:val="21"/>
                <w:szCs w:val="21"/>
              </w:rPr>
              <w:t>自备发电机发电，能够满足工程建设需要。</w:t>
            </w:r>
          </w:p>
        </w:tc>
        <w:tc>
          <w:tcPr>
            <w:tcW w:w="1026"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bCs/>
                <w:sz w:val="21"/>
                <w:szCs w:val="21"/>
              </w:rPr>
            </w:pPr>
            <w:r>
              <w:rPr>
                <w:rFonts w:hint="eastAsia" w:ascii="Times New Roman" w:hAnsi="Times New Roman" w:eastAsia="宋体" w:cs="Times New Roman"/>
                <w:bCs/>
                <w:sz w:val="21"/>
                <w:szCs w:val="21"/>
                <w:lang w:val="en-US" w:eastAsia="zh-CN"/>
              </w:rPr>
              <w:t>未变化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bCs/>
                <w:sz w:val="21"/>
                <w:szCs w:val="21"/>
              </w:rPr>
            </w:pPr>
          </w:p>
        </w:tc>
        <w:tc>
          <w:tcPr>
            <w:tcW w:w="1500"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rPr>
              <w:t>供</w:t>
            </w:r>
            <w:r>
              <w:rPr>
                <w:rFonts w:hint="default" w:ascii="Times New Roman" w:hAnsi="Times New Roman" w:eastAsia="宋体" w:cs="Times New Roman"/>
                <w:bCs/>
                <w:sz w:val="21"/>
                <w:szCs w:val="21"/>
                <w:lang w:val="en-US" w:eastAsia="zh-CN"/>
              </w:rPr>
              <w:t>水</w:t>
            </w:r>
          </w:p>
        </w:tc>
        <w:tc>
          <w:tcPr>
            <w:tcW w:w="5352"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rPr>
              <w:t>生产用水就近提取解决</w:t>
            </w:r>
            <w:r>
              <w:rPr>
                <w:rFonts w:hint="default" w:ascii="Times New Roman" w:hAnsi="Times New Roman" w:eastAsia="宋体" w:cs="Times New Roman"/>
                <w:lang w:eastAsia="zh-CN"/>
              </w:rPr>
              <w:t>，</w:t>
            </w:r>
            <w:r>
              <w:rPr>
                <w:rFonts w:hint="default" w:ascii="Times New Roman" w:hAnsi="Times New Roman" w:eastAsia="宋体" w:cs="Times New Roman"/>
              </w:rPr>
              <w:t>生活用水从工程附近的村民协商解决</w:t>
            </w:r>
          </w:p>
        </w:tc>
        <w:tc>
          <w:tcPr>
            <w:tcW w:w="5046"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bCs/>
                <w:sz w:val="21"/>
                <w:szCs w:val="21"/>
                <w:lang w:val="en-US" w:eastAsia="zh-CN" w:bidi="ar-SA"/>
              </w:rPr>
            </w:pPr>
            <w:r>
              <w:rPr>
                <w:rFonts w:hint="default" w:ascii="Times New Roman" w:hAnsi="Times New Roman" w:eastAsia="宋体" w:cs="Times New Roman"/>
                <w:sz w:val="21"/>
                <w:szCs w:val="21"/>
                <w:lang w:val="en-US" w:eastAsia="zh-CN"/>
              </w:rPr>
              <w:t>清水池预留自用水管道</w:t>
            </w:r>
          </w:p>
        </w:tc>
        <w:tc>
          <w:tcPr>
            <w:tcW w:w="1026"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rPr>
            </w:pPr>
            <w:r>
              <w:rPr>
                <w:rFonts w:hint="eastAsia" w:ascii="Times New Roman" w:hAnsi="Times New Roman" w:eastAsia="宋体" w:cs="Times New Roman"/>
                <w:bCs/>
                <w:sz w:val="21"/>
                <w:szCs w:val="21"/>
                <w:lang w:val="en-US" w:eastAsia="zh-CN"/>
              </w:rPr>
              <w:t>未变化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环保工程</w:t>
            </w:r>
          </w:p>
        </w:tc>
        <w:tc>
          <w:tcPr>
            <w:tcW w:w="149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废气</w:t>
            </w:r>
          </w:p>
        </w:tc>
        <w:tc>
          <w:tcPr>
            <w:tcW w:w="535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施工扬尘、现场道路扬尘、堆放扬尘施工期间现场定期洒水，运渣土车辆应进行覆盖，运输车辆采取密封措施；加强施工机具和车辆的维修保养；并使用优质燃料；减少废气排放</w:t>
            </w:r>
          </w:p>
        </w:tc>
        <w:tc>
          <w:tcPr>
            <w:tcW w:w="5046"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施工期间现场定期洒水</w:t>
            </w:r>
            <w:r>
              <w:rPr>
                <w:rFonts w:hint="default" w:ascii="Times New Roman" w:hAnsi="Times New Roman" w:eastAsia="宋体" w:cs="Times New Roman"/>
                <w:sz w:val="21"/>
                <w:szCs w:val="21"/>
                <w:lang w:eastAsia="zh-CN"/>
              </w:rPr>
              <w:t>，运渣土车辆进行覆盖，施工道路及时进行清扫</w:t>
            </w:r>
          </w:p>
        </w:tc>
        <w:tc>
          <w:tcPr>
            <w:tcW w:w="1026"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bCs/>
                <w:sz w:val="21"/>
                <w:szCs w:val="21"/>
              </w:rPr>
            </w:pPr>
            <w:r>
              <w:rPr>
                <w:rFonts w:hint="eastAsia" w:ascii="Times New Roman" w:hAnsi="Times New Roman" w:eastAsia="宋体" w:cs="Times New Roman"/>
                <w:bCs/>
                <w:sz w:val="21"/>
                <w:szCs w:val="21"/>
                <w:lang w:val="en-US" w:eastAsia="zh-CN"/>
              </w:rPr>
              <w:t>未变化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bCs/>
                <w:sz w:val="21"/>
                <w:szCs w:val="21"/>
              </w:rPr>
            </w:pPr>
          </w:p>
        </w:tc>
        <w:tc>
          <w:tcPr>
            <w:tcW w:w="149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废水</w:t>
            </w:r>
          </w:p>
        </w:tc>
        <w:tc>
          <w:tcPr>
            <w:tcW w:w="535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施工期生产废水经沉淀池沉淀后回用，生活废水借用附近村庄已有旱厕；</w:t>
            </w:r>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运营期废水主要为员工生活废水，经玻璃钢化粪池处理后中水回用于绿化等，不排放</w:t>
            </w:r>
          </w:p>
        </w:tc>
        <w:tc>
          <w:tcPr>
            <w:tcW w:w="5046"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施工期生产废水经沉淀池沉淀后回用，生活废水借用附近村庄已有旱厕；</w:t>
            </w:r>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color w:val="auto"/>
                <w:sz w:val="21"/>
                <w:szCs w:val="21"/>
                <w:lang w:val="en-US" w:eastAsia="zh-CN"/>
              </w:rPr>
              <w:t>运营期废水主要为员工生活废水，经玻璃钢化粪池处理消解，定期清理，用作农家肥</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rPr>
              <w:t>生产废水主要为滤池反冲洗废水、</w:t>
            </w:r>
            <w:r>
              <w:rPr>
                <w:rFonts w:hint="eastAsia" w:ascii="Times New Roman" w:hAnsi="Times New Roman" w:eastAsia="宋体" w:cs="Times New Roman"/>
                <w:color w:val="auto"/>
                <w:lang w:val="en-US" w:eastAsia="zh-CN"/>
              </w:rPr>
              <w:t>沉淀池排泥水</w:t>
            </w:r>
            <w:r>
              <w:rPr>
                <w:rFonts w:hint="default" w:ascii="Times New Roman" w:hAnsi="Times New Roman" w:eastAsia="宋体" w:cs="Times New Roman"/>
                <w:color w:val="auto"/>
              </w:rPr>
              <w:t>。</w:t>
            </w:r>
            <w:r>
              <w:rPr>
                <w:rFonts w:hint="default" w:ascii="Times New Roman" w:hAnsi="Times New Roman" w:eastAsia="宋体" w:cs="Times New Roman"/>
                <w:color w:val="auto"/>
                <w:lang w:val="en-US" w:eastAsia="zh-CN"/>
              </w:rPr>
              <w:t>反冲洗废水经</w:t>
            </w:r>
            <w:r>
              <w:rPr>
                <w:rFonts w:hint="eastAsia" w:ascii="Times New Roman" w:hAnsi="Times New Roman" w:eastAsia="宋体" w:cs="Times New Roman"/>
                <w:color w:val="auto"/>
                <w:lang w:val="en-US" w:eastAsia="zh-CN"/>
              </w:rPr>
              <w:t>反冲洗集水井</w:t>
            </w:r>
            <w:r>
              <w:rPr>
                <w:rFonts w:hint="default" w:ascii="Times New Roman" w:hAnsi="Times New Roman" w:eastAsia="宋体" w:cs="Times New Roman"/>
                <w:color w:val="auto"/>
                <w:lang w:val="en-US" w:eastAsia="zh-CN"/>
              </w:rPr>
              <w:t>沉淀处理</w:t>
            </w:r>
            <w:r>
              <w:rPr>
                <w:rFonts w:hint="eastAsia" w:ascii="Times New Roman" w:hAnsi="Times New Roman" w:eastAsia="宋体" w:cs="Times New Roman"/>
                <w:color w:val="auto"/>
                <w:lang w:val="en-US" w:eastAsia="zh-CN"/>
              </w:rPr>
              <w:t>后</w:t>
            </w:r>
            <w:r>
              <w:rPr>
                <w:rFonts w:hint="default" w:ascii="Times New Roman" w:hAnsi="Times New Roman" w:eastAsia="宋体" w:cs="Times New Roman"/>
                <w:color w:val="auto"/>
                <w:lang w:val="en-US" w:eastAsia="zh-CN"/>
              </w:rPr>
              <w:t>回用，不外排</w:t>
            </w:r>
            <w:r>
              <w:rPr>
                <w:rFonts w:hint="eastAsia" w:ascii="Times New Roman" w:hAnsi="Times New Roman" w:eastAsia="宋体" w:cs="Times New Roman"/>
                <w:color w:val="auto"/>
                <w:lang w:val="en-US" w:eastAsia="zh-CN"/>
              </w:rPr>
              <w:t>；沉淀池排泥水首先进入排泥水调节池，然后排入泥沙处理间，经机械浓缩处理，上清液用于厂区绿化，不外排。</w:t>
            </w:r>
          </w:p>
        </w:tc>
        <w:tc>
          <w:tcPr>
            <w:tcW w:w="1026"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未变化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bCs/>
                <w:sz w:val="21"/>
                <w:szCs w:val="21"/>
              </w:rPr>
            </w:pPr>
          </w:p>
        </w:tc>
        <w:tc>
          <w:tcPr>
            <w:tcW w:w="149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噪声</w:t>
            </w:r>
          </w:p>
        </w:tc>
        <w:tc>
          <w:tcPr>
            <w:tcW w:w="535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rPr>
            </w:pPr>
            <w:r>
              <w:rPr>
                <w:rFonts w:hint="default" w:ascii="Times New Roman" w:hAnsi="Times New Roman" w:eastAsia="宋体" w:cs="Times New Roman"/>
              </w:rPr>
              <w:t>对项目产噪设备进行隔声、降噪、减振措施</w:t>
            </w:r>
          </w:p>
        </w:tc>
        <w:tc>
          <w:tcPr>
            <w:tcW w:w="5046"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rPr>
            </w:pPr>
            <w:r>
              <w:rPr>
                <w:rFonts w:hint="default" w:ascii="Times New Roman" w:hAnsi="Times New Roman" w:eastAsia="宋体" w:cs="Times New Roman"/>
                <w:sz w:val="21"/>
                <w:szCs w:val="21"/>
                <w:lang w:val="en-US" w:eastAsia="zh-CN"/>
              </w:rPr>
              <w:t>所有设备均在室内布置</w:t>
            </w:r>
          </w:p>
        </w:tc>
        <w:tc>
          <w:tcPr>
            <w:tcW w:w="1026"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rPr>
            </w:pPr>
            <w:r>
              <w:rPr>
                <w:rFonts w:hint="eastAsia" w:ascii="Times New Roman" w:hAnsi="Times New Roman" w:eastAsia="宋体" w:cs="Times New Roman"/>
                <w:bCs/>
                <w:sz w:val="21"/>
                <w:szCs w:val="21"/>
                <w:lang w:val="en-US" w:eastAsia="zh-CN"/>
              </w:rPr>
              <w:t>未变化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bCs/>
                <w:sz w:val="21"/>
                <w:szCs w:val="21"/>
              </w:rPr>
            </w:pPr>
          </w:p>
        </w:tc>
        <w:tc>
          <w:tcPr>
            <w:tcW w:w="1499" w:type="dxa"/>
            <w:gridSpan w:val="2"/>
            <w:vMerge w:val="restart"/>
            <w:noWrap w:val="0"/>
            <w:vAlign w:val="center"/>
          </w:tcPr>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0" w:firstLineChars="0"/>
              <w:jc w:val="center"/>
              <w:textAlignment w:val="auto"/>
              <w:rPr>
                <w:rFonts w:hint="default" w:ascii="Times New Roman" w:hAnsi="Times New Roman" w:eastAsia="宋体" w:cs="Times New Roman"/>
                <w:lang w:val="en-US"/>
              </w:rPr>
            </w:pPr>
            <w:r>
              <w:rPr>
                <w:rFonts w:hint="default" w:ascii="Times New Roman" w:hAnsi="Times New Roman" w:eastAsia="宋体" w:cs="Times New Roman"/>
                <w:bCs/>
                <w:sz w:val="21"/>
                <w:szCs w:val="21"/>
              </w:rPr>
              <w:t>固废</w:t>
            </w:r>
          </w:p>
        </w:tc>
        <w:tc>
          <w:tcPr>
            <w:tcW w:w="535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rPr>
            </w:pPr>
            <w:r>
              <w:rPr>
                <w:rFonts w:hint="default" w:ascii="Times New Roman" w:hAnsi="Times New Roman" w:eastAsia="宋体" w:cs="Times New Roman"/>
                <w:lang w:val="en-US" w:eastAsia="zh-CN"/>
              </w:rPr>
              <w:t>施工期及运行期产生的</w:t>
            </w:r>
            <w:r>
              <w:rPr>
                <w:rFonts w:hint="default" w:ascii="Times New Roman" w:hAnsi="Times New Roman" w:eastAsia="宋体" w:cs="Times New Roman"/>
              </w:rPr>
              <w:t>生活垃圾要实行袋装化收集，定点集中</w:t>
            </w:r>
            <w:r>
              <w:rPr>
                <w:rFonts w:hint="default" w:ascii="Times New Roman" w:hAnsi="Times New Roman" w:eastAsia="宋体" w:cs="Times New Roman"/>
                <w:lang w:val="en-US" w:eastAsia="zh-CN"/>
              </w:rPr>
              <w:t>收集后外运至尖扎县垃圾填埋场</w:t>
            </w:r>
          </w:p>
        </w:tc>
        <w:tc>
          <w:tcPr>
            <w:tcW w:w="5046"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施工期产生的</w:t>
            </w:r>
            <w:r>
              <w:rPr>
                <w:rFonts w:hint="default" w:ascii="Times New Roman" w:hAnsi="Times New Roman" w:eastAsia="宋体" w:cs="Times New Roman"/>
                <w:sz w:val="21"/>
                <w:szCs w:val="21"/>
              </w:rPr>
              <w:t>生活垃圾袋装化收集，定点集中</w:t>
            </w:r>
            <w:r>
              <w:rPr>
                <w:rFonts w:hint="default" w:ascii="Times New Roman" w:hAnsi="Times New Roman" w:eastAsia="宋体" w:cs="Times New Roman"/>
                <w:sz w:val="21"/>
                <w:szCs w:val="21"/>
                <w:lang w:val="en-US" w:eastAsia="zh-CN"/>
              </w:rPr>
              <w:t>收集后外运至尖扎县垃圾填埋场。</w:t>
            </w:r>
          </w:p>
        </w:tc>
        <w:tc>
          <w:tcPr>
            <w:tcW w:w="1026"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rPr>
            </w:pPr>
            <w:r>
              <w:rPr>
                <w:rFonts w:hint="eastAsia" w:ascii="Times New Roman" w:hAnsi="Times New Roman" w:eastAsia="宋体" w:cs="Times New Roman"/>
                <w:bCs/>
                <w:sz w:val="21"/>
                <w:szCs w:val="21"/>
                <w:lang w:val="en-US" w:eastAsia="zh-CN"/>
              </w:rPr>
              <w:t>未变化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bCs/>
                <w:sz w:val="21"/>
                <w:szCs w:val="21"/>
              </w:rPr>
            </w:pPr>
          </w:p>
        </w:tc>
        <w:tc>
          <w:tcPr>
            <w:tcW w:w="1499" w:type="dxa"/>
            <w:gridSpan w:val="2"/>
            <w:vMerge w:val="continue"/>
            <w:noWrap w:val="0"/>
            <w:vAlign w:val="center"/>
          </w:tcPr>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0" w:firstLineChars="0"/>
              <w:jc w:val="center"/>
              <w:textAlignment w:val="auto"/>
              <w:rPr>
                <w:rFonts w:hint="default" w:ascii="Times New Roman" w:hAnsi="Times New Roman" w:eastAsia="宋体" w:cs="Times New Roman"/>
                <w:lang w:val="en-US"/>
              </w:rPr>
            </w:pPr>
          </w:p>
        </w:tc>
        <w:tc>
          <w:tcPr>
            <w:tcW w:w="5353" w:type="dxa"/>
            <w:gridSpan w:val="2"/>
            <w:noWrap w:val="0"/>
            <w:vAlign w:val="center"/>
          </w:tcPr>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0" w:firstLineChars="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运行期一体化净水设备产生的沉淀污泥收集后统一作为尖扎县垃圾填埋场的覆土层使用</w:t>
            </w:r>
          </w:p>
        </w:tc>
        <w:tc>
          <w:tcPr>
            <w:tcW w:w="5046" w:type="dxa"/>
            <w:noWrap w:val="0"/>
            <w:vAlign w:val="center"/>
          </w:tcPr>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0" w:firstLineChars="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运行期一体化净水设备产生的沉淀污泥收集后</w:t>
            </w:r>
            <w:r>
              <w:rPr>
                <w:rFonts w:hint="default" w:ascii="Times New Roman" w:hAnsi="Times New Roman" w:eastAsia="宋体" w:cs="Times New Roman"/>
                <w:sz w:val="21"/>
                <w:szCs w:val="21"/>
                <w:lang w:val="en-US" w:eastAsia="zh-CN"/>
              </w:rPr>
              <w:t>外运至尖扎县垃圾填埋场。</w:t>
            </w:r>
          </w:p>
        </w:tc>
        <w:tc>
          <w:tcPr>
            <w:tcW w:w="1026" w:type="dxa"/>
            <w:noWrap w:val="0"/>
            <w:vAlign w:val="center"/>
          </w:tcPr>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0" w:firstLineChars="0"/>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未变化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bCs/>
                <w:sz w:val="21"/>
                <w:szCs w:val="21"/>
              </w:rPr>
            </w:pPr>
          </w:p>
        </w:tc>
        <w:tc>
          <w:tcPr>
            <w:tcW w:w="149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rPr>
              <w:t>绿化</w:t>
            </w:r>
          </w:p>
        </w:tc>
        <w:tc>
          <w:tcPr>
            <w:tcW w:w="535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rPr>
            </w:pPr>
            <w:r>
              <w:rPr>
                <w:rFonts w:hint="default" w:ascii="Times New Roman" w:hAnsi="Times New Roman" w:eastAsia="宋体" w:cs="Times New Roman"/>
              </w:rPr>
              <w:t>净水厂绿化面积约</w:t>
            </w:r>
            <w:r>
              <w:rPr>
                <w:rFonts w:hint="default" w:ascii="Times New Roman" w:hAnsi="Times New Roman" w:eastAsia="宋体" w:cs="Times New Roman"/>
                <w:lang w:val="en-US" w:eastAsia="zh-CN"/>
              </w:rPr>
              <w:t>119.0</w:t>
            </w:r>
            <w:r>
              <w:rPr>
                <w:rFonts w:hint="default" w:ascii="Times New Roman" w:hAnsi="Times New Roman" w:eastAsia="宋体" w:cs="Times New Roman"/>
              </w:rPr>
              <w:t>m</w:t>
            </w:r>
            <w:r>
              <w:rPr>
                <w:rFonts w:hint="default" w:ascii="Times New Roman" w:hAnsi="Times New Roman" w:eastAsia="宋体" w:cs="Times New Roman"/>
                <w:vertAlign w:val="superscript"/>
              </w:rPr>
              <w:t>2</w:t>
            </w:r>
            <w:r>
              <w:rPr>
                <w:rFonts w:hint="default" w:ascii="Times New Roman" w:hAnsi="Times New Roman" w:eastAsia="宋体" w:cs="Times New Roman"/>
              </w:rPr>
              <w:t>，占总用地面积的</w:t>
            </w:r>
            <w:r>
              <w:rPr>
                <w:rFonts w:hint="default" w:ascii="Times New Roman" w:hAnsi="Times New Roman" w:eastAsia="宋体" w:cs="Times New Roman"/>
                <w:lang w:val="en-US" w:eastAsia="zh-CN"/>
              </w:rPr>
              <w:t>21.65</w:t>
            </w:r>
            <w:r>
              <w:rPr>
                <w:rFonts w:hint="default" w:ascii="Times New Roman" w:hAnsi="Times New Roman" w:eastAsia="宋体" w:cs="Times New Roman"/>
              </w:rPr>
              <w:t>%</w:t>
            </w:r>
          </w:p>
        </w:tc>
        <w:tc>
          <w:tcPr>
            <w:tcW w:w="5046"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rPr>
            </w:pPr>
            <w:r>
              <w:rPr>
                <w:rFonts w:hint="default" w:ascii="Times New Roman" w:hAnsi="Times New Roman" w:eastAsia="宋体" w:cs="Times New Roman"/>
                <w:sz w:val="21"/>
                <w:szCs w:val="21"/>
                <w:lang w:val="en-US" w:eastAsia="zh-CN"/>
              </w:rPr>
              <w:t>净水</w:t>
            </w:r>
            <w:r>
              <w:rPr>
                <w:rFonts w:hint="eastAsia" w:ascii="Times New Roman" w:hAnsi="Times New Roman" w:eastAsia="宋体" w:cs="Times New Roman"/>
                <w:sz w:val="21"/>
                <w:szCs w:val="21"/>
                <w:lang w:val="en-US" w:eastAsia="zh-CN"/>
              </w:rPr>
              <w:t>厂</w:t>
            </w:r>
            <w:r>
              <w:rPr>
                <w:rFonts w:hint="default" w:ascii="Times New Roman" w:hAnsi="Times New Roman" w:eastAsia="宋体" w:cs="Times New Roman"/>
                <w:sz w:val="21"/>
                <w:szCs w:val="21"/>
                <w:lang w:val="en-US" w:eastAsia="zh-CN"/>
              </w:rPr>
              <w:t>内空地均已绿化</w:t>
            </w:r>
          </w:p>
        </w:tc>
        <w:tc>
          <w:tcPr>
            <w:tcW w:w="1026"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rPr>
            </w:pPr>
            <w:r>
              <w:rPr>
                <w:rFonts w:hint="eastAsia" w:ascii="Times New Roman" w:hAnsi="Times New Roman" w:eastAsia="宋体" w:cs="Times New Roman"/>
                <w:bCs/>
                <w:sz w:val="21"/>
                <w:szCs w:val="21"/>
                <w:lang w:val="en-US" w:eastAsia="zh-CN"/>
              </w:rPr>
              <w:t>未变化</w:t>
            </w:r>
          </w:p>
        </w:tc>
      </w:tr>
    </w:tbl>
    <w:p>
      <w:pPr>
        <w:pStyle w:val="2"/>
        <w:ind w:left="0" w:leftChars="0" w:firstLine="0" w:firstLineChars="0"/>
        <w:rPr>
          <w:rFonts w:hint="default" w:ascii="Times New Roman" w:hAnsi="Times New Roman" w:eastAsia="宋体" w:cs="Times New Roman"/>
          <w:b/>
          <w:bCs/>
          <w:color w:val="000000"/>
          <w:sz w:val="21"/>
          <w:szCs w:val="21"/>
        </w:rPr>
      </w:pPr>
    </w:p>
    <w:p>
      <w:pPr>
        <w:rPr>
          <w:rFonts w:hint="default"/>
        </w:rPr>
      </w:pPr>
    </w:p>
    <w:p/>
    <w:p>
      <w:pPr>
        <w:pStyle w:val="6"/>
        <w:sectPr>
          <w:pgSz w:w="16838" w:h="11906" w:orient="landscape"/>
          <w:pgMar w:top="1800" w:right="1440" w:bottom="1800" w:left="1440" w:header="708" w:footer="708" w:gutter="0"/>
          <w:pgBorders>
            <w:top w:val="none" w:sz="0" w:space="0"/>
            <w:left w:val="none" w:sz="0" w:space="0"/>
            <w:bottom w:val="none" w:sz="0" w:space="0"/>
            <w:right w:val="none" w:sz="0" w:space="0"/>
          </w:pgBorders>
          <w:pgNumType w:fmt="decimal"/>
          <w:cols w:space="720" w:num="1"/>
          <w:docGrid w:linePitch="360" w:charSpace="0"/>
        </w:sectPr>
      </w:pPr>
    </w:p>
    <w:p>
      <w:pPr>
        <w:spacing w:after="0" w:afterLines="0" w:line="360" w:lineRule="auto"/>
        <w:rPr>
          <w:rFonts w:hint="eastAsia" w:eastAsia="仿宋_GB2312"/>
          <w:lang w:eastAsia="zh-CN"/>
        </w:rPr>
      </w:pPr>
      <w:r>
        <w:rPr>
          <w:rFonts w:eastAsia="仿宋_GB2312"/>
          <w:b/>
          <w:color w:val="000000"/>
          <w:sz w:val="24"/>
          <w:szCs w:val="24"/>
        </w:rPr>
        <w:t>表二</w:t>
      </w:r>
      <w:r>
        <w:rPr>
          <w:rFonts w:hint="eastAsia" w:eastAsia="仿宋_GB2312"/>
          <w:b/>
          <w:color w:val="000000"/>
          <w:sz w:val="24"/>
          <w:szCs w:val="24"/>
          <w:lang w:eastAsia="zh-CN"/>
        </w:rPr>
        <w:t>（</w:t>
      </w:r>
      <w:r>
        <w:rPr>
          <w:rFonts w:hint="eastAsia" w:eastAsia="仿宋_GB2312"/>
          <w:b/>
          <w:color w:val="000000"/>
          <w:sz w:val="24"/>
          <w:szCs w:val="24"/>
          <w:lang w:val="en-US" w:eastAsia="zh-CN"/>
        </w:rPr>
        <w:t>续</w:t>
      </w:r>
      <w:r>
        <w:rPr>
          <w:rFonts w:hint="eastAsia" w:eastAsia="仿宋_GB2312"/>
          <w:b/>
          <w:color w:val="000000"/>
          <w:sz w:val="24"/>
          <w:szCs w:val="24"/>
          <w:lang w:eastAsia="zh-CN"/>
        </w:rPr>
        <w:t>）</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13" w:hRule="atLeast"/>
          <w:jc w:val="center"/>
        </w:trPr>
        <w:tc>
          <w:tcPr>
            <w:tcW w:w="9028" w:type="dxa"/>
            <w:noWrap w:val="0"/>
            <w:vAlign w:val="top"/>
          </w:tcPr>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default" w:ascii="Times New Roman" w:hAnsi="Times New Roman" w:eastAsia="宋体" w:cs="Times New Roman"/>
                <w:sz w:val="24"/>
                <w:szCs w:val="24"/>
              </w:rPr>
            </w:pPr>
            <w:r>
              <w:rPr>
                <w:rFonts w:hint="eastAsia" w:ascii="Times New Roman" w:hAnsi="Times New Roman" w:eastAsia="楷体" w:cs="Times New Roman"/>
                <w:b/>
                <w:bCs/>
                <w:color w:val="000000"/>
                <w:sz w:val="28"/>
                <w:szCs w:val="28"/>
                <w:lang w:val="en-US" w:eastAsia="zh-CN"/>
              </w:rPr>
              <w:t xml:space="preserve">2.3 </w:t>
            </w:r>
            <w:r>
              <w:rPr>
                <w:rFonts w:hint="default" w:ascii="Times New Roman" w:hAnsi="Times New Roman" w:eastAsia="楷体" w:cs="Times New Roman"/>
                <w:b/>
                <w:bCs/>
                <w:color w:val="000000"/>
                <w:sz w:val="28"/>
                <w:szCs w:val="28"/>
              </w:rPr>
              <w:t>原辅材料消耗</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根据调查，</w:t>
            </w:r>
            <w:r>
              <w:rPr>
                <w:rFonts w:hint="eastAsia" w:ascii="Times New Roman" w:hAnsi="Times New Roman" w:eastAsia="宋体" w:cs="Times New Roman"/>
                <w:sz w:val="24"/>
                <w:szCs w:val="24"/>
                <w:lang w:val="en-US" w:eastAsia="zh-CN"/>
              </w:rPr>
              <w:t>措周乡</w:t>
            </w:r>
            <w:r>
              <w:rPr>
                <w:rFonts w:hint="default" w:ascii="Times New Roman" w:hAnsi="Times New Roman" w:eastAsia="宋体" w:cs="Times New Roman"/>
                <w:sz w:val="24"/>
                <w:szCs w:val="24"/>
              </w:rPr>
              <w:t>水厂净水过程中使用的主要原辅料用量见表2</w:t>
            </w:r>
            <w:r>
              <w:rPr>
                <w:rFonts w:hint="eastAsia" w:ascii="Times New Roman" w:hAnsi="Times New Roman" w:eastAsia="宋体" w:cs="Times New Roman"/>
                <w:sz w:val="24"/>
                <w:szCs w:val="24"/>
                <w:lang w:val="en-US" w:eastAsia="zh-CN"/>
              </w:rPr>
              <w:t>-2；</w:t>
            </w:r>
          </w:p>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表</w:t>
            </w:r>
            <w:r>
              <w:rPr>
                <w:rFonts w:hint="eastAsia" w:ascii="Times New Roman" w:hAnsi="Times New Roman" w:eastAsia="宋体" w:cs="Times New Roman"/>
                <w:b/>
                <w:bCs/>
                <w:sz w:val="21"/>
                <w:szCs w:val="21"/>
                <w:lang w:val="en-US" w:eastAsia="zh-CN"/>
              </w:rPr>
              <w:t>2-2</w:t>
            </w:r>
            <w:r>
              <w:rPr>
                <w:rFonts w:hint="default" w:ascii="Times New Roman" w:hAnsi="Times New Roman" w:eastAsia="宋体" w:cs="Times New Roman"/>
                <w:b/>
                <w:bCs/>
                <w:sz w:val="21"/>
                <w:szCs w:val="21"/>
              </w:rPr>
              <w:t xml:space="preserve">  原辅材料及能源消耗情况一览表</w:t>
            </w:r>
          </w:p>
          <w:tbl>
            <w:tblPr>
              <w:tblStyle w:val="11"/>
              <w:tblW w:w="8812"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79"/>
              <w:gridCol w:w="1365"/>
              <w:gridCol w:w="1260"/>
              <w:gridCol w:w="1350"/>
              <w:gridCol w:w="1245"/>
              <w:gridCol w:w="1854"/>
              <w:gridCol w:w="125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79"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序号</w:t>
                  </w:r>
                </w:p>
              </w:tc>
              <w:tc>
                <w:tcPr>
                  <w:tcW w:w="2625"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vertAlign w:val="baseline"/>
                      <w:lang w:val="en-US" w:eastAsia="zh-CN"/>
                    </w:rPr>
                    <w:t>环评阶段</w:t>
                  </w:r>
                </w:p>
              </w:tc>
              <w:tc>
                <w:tcPr>
                  <w:tcW w:w="2595"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vertAlign w:val="baseline"/>
                      <w:lang w:val="en-US" w:eastAsia="zh-CN"/>
                    </w:rPr>
                    <w:t>实际使用</w:t>
                  </w:r>
                </w:p>
              </w:tc>
              <w:tc>
                <w:tcPr>
                  <w:tcW w:w="1854"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贮存方式</w:t>
                  </w:r>
                </w:p>
              </w:tc>
              <w:tc>
                <w:tcPr>
                  <w:tcW w:w="1259"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贮存地点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7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sz w:val="21"/>
                      <w:szCs w:val="21"/>
                      <w:vertAlign w:val="baseline"/>
                    </w:rPr>
                  </w:pPr>
                </w:p>
              </w:tc>
              <w:tc>
                <w:tcPr>
                  <w:tcW w:w="136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名称</w:t>
                  </w:r>
                </w:p>
              </w:tc>
              <w:tc>
                <w:tcPr>
                  <w:tcW w:w="126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年消耗量</w:t>
                  </w:r>
                </w:p>
              </w:tc>
              <w:tc>
                <w:tcPr>
                  <w:tcW w:w="13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名称</w:t>
                  </w:r>
                </w:p>
              </w:tc>
              <w:tc>
                <w:tcPr>
                  <w:tcW w:w="124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年消耗量</w:t>
                  </w:r>
                </w:p>
              </w:tc>
              <w:tc>
                <w:tcPr>
                  <w:tcW w:w="1854"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rPr>
                  </w:pPr>
                </w:p>
              </w:tc>
              <w:tc>
                <w:tcPr>
                  <w:tcW w:w="125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79"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w:t>
                  </w:r>
                </w:p>
              </w:tc>
              <w:tc>
                <w:tcPr>
                  <w:tcW w:w="1365" w:type="dxa"/>
                  <w:tcBorders>
                    <w:tl2br w:val="nil"/>
                    <w:tr2bl w:val="nil"/>
                  </w:tcBorders>
                  <w:vAlign w:val="top"/>
                </w:tcPr>
                <w:p>
                  <w:pPr>
                    <w:keepNext w:val="0"/>
                    <w:keepLines w:val="0"/>
                    <w:pageBreakBefore w:val="0"/>
                    <w:widowControl/>
                    <w:kinsoku/>
                    <w:wordWrap/>
                    <w:overflowPunct/>
                    <w:topLinePunct w:val="0"/>
                    <w:bidi w:val="0"/>
                    <w:adjustRightInd w:val="0"/>
                    <w:snapToGrid w:val="0"/>
                    <w:spacing w:after="0"/>
                    <w:jc w:val="center"/>
                    <w:textAlignment w:val="auto"/>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bCs/>
                      <w:color w:val="auto"/>
                      <w:szCs w:val="21"/>
                    </w:rPr>
                    <w:t>盐</w:t>
                  </w:r>
                </w:p>
              </w:tc>
              <w:tc>
                <w:tcPr>
                  <w:tcW w:w="126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5.88kg/d</w:t>
                  </w:r>
                </w:p>
              </w:tc>
              <w:tc>
                <w:tcPr>
                  <w:tcW w:w="1350" w:type="dxa"/>
                  <w:tcBorders>
                    <w:tl2br w:val="nil"/>
                    <w:tr2bl w:val="nil"/>
                  </w:tcBorders>
                  <w:vAlign w:val="top"/>
                </w:tcPr>
                <w:p>
                  <w:pPr>
                    <w:keepNext w:val="0"/>
                    <w:keepLines w:val="0"/>
                    <w:pageBreakBefore w:val="0"/>
                    <w:widowControl/>
                    <w:kinsoku/>
                    <w:wordWrap/>
                    <w:overflowPunct/>
                    <w:topLinePunct w:val="0"/>
                    <w:bidi w:val="0"/>
                    <w:adjustRightInd w:val="0"/>
                    <w:snapToGrid w:val="0"/>
                    <w:spacing w:after="0"/>
                    <w:jc w:val="center"/>
                    <w:textAlignment w:val="auto"/>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bCs/>
                      <w:color w:val="auto"/>
                      <w:szCs w:val="21"/>
                    </w:rPr>
                    <w:t>盐</w:t>
                  </w:r>
                </w:p>
              </w:tc>
              <w:tc>
                <w:tcPr>
                  <w:tcW w:w="124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5.88kg/d</w:t>
                  </w:r>
                </w:p>
              </w:tc>
              <w:tc>
                <w:tcPr>
                  <w:tcW w:w="185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vertAlign w:val="baseline"/>
                    </w:rPr>
                    <w:t>袋装，约25kg/袋</w:t>
                  </w:r>
                </w:p>
              </w:tc>
              <w:tc>
                <w:tcPr>
                  <w:tcW w:w="1259"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vertAlign w:val="baseline"/>
                    </w:rPr>
                    <w:t>加氯加药间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79"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2</w:t>
                  </w:r>
                </w:p>
              </w:tc>
              <w:tc>
                <w:tcPr>
                  <w:tcW w:w="1365" w:type="dxa"/>
                  <w:tcBorders>
                    <w:tl2br w:val="nil"/>
                    <w:tr2bl w:val="nil"/>
                  </w:tcBorders>
                  <w:vAlign w:val="top"/>
                </w:tcPr>
                <w:p>
                  <w:pPr>
                    <w:keepNext w:val="0"/>
                    <w:keepLines w:val="0"/>
                    <w:pageBreakBefore w:val="0"/>
                    <w:widowControl/>
                    <w:kinsoku/>
                    <w:wordWrap/>
                    <w:overflowPunct/>
                    <w:topLinePunct w:val="0"/>
                    <w:bidi w:val="0"/>
                    <w:adjustRightInd w:val="0"/>
                    <w:snapToGrid w:val="0"/>
                    <w:spacing w:after="0"/>
                    <w:jc w:val="center"/>
                    <w:textAlignment w:val="auto"/>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bCs/>
                      <w:color w:val="auto"/>
                      <w:szCs w:val="21"/>
                    </w:rPr>
                    <w:t>盐酸</w:t>
                  </w:r>
                </w:p>
              </w:tc>
              <w:tc>
                <w:tcPr>
                  <w:tcW w:w="126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5.3kg/d</w:t>
                  </w:r>
                </w:p>
              </w:tc>
              <w:tc>
                <w:tcPr>
                  <w:tcW w:w="1350" w:type="dxa"/>
                  <w:tcBorders>
                    <w:tl2br w:val="nil"/>
                    <w:tr2bl w:val="nil"/>
                  </w:tcBorders>
                  <w:vAlign w:val="top"/>
                </w:tcPr>
                <w:p>
                  <w:pPr>
                    <w:keepNext w:val="0"/>
                    <w:keepLines w:val="0"/>
                    <w:pageBreakBefore w:val="0"/>
                    <w:widowControl/>
                    <w:kinsoku/>
                    <w:wordWrap/>
                    <w:overflowPunct/>
                    <w:topLinePunct w:val="0"/>
                    <w:bidi w:val="0"/>
                    <w:adjustRightInd w:val="0"/>
                    <w:snapToGrid w:val="0"/>
                    <w:spacing w:after="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bCs/>
                      <w:color w:val="auto"/>
                      <w:szCs w:val="21"/>
                    </w:rPr>
                    <w:t>盐酸</w:t>
                  </w:r>
                </w:p>
              </w:tc>
              <w:tc>
                <w:tcPr>
                  <w:tcW w:w="124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5.3kg/d</w:t>
                  </w:r>
                </w:p>
              </w:tc>
              <w:tc>
                <w:tcPr>
                  <w:tcW w:w="185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vertAlign w:val="baseline"/>
                    </w:rPr>
                    <w:t>袋装，约50kg/袋</w:t>
                  </w:r>
                </w:p>
              </w:tc>
              <w:tc>
                <w:tcPr>
                  <w:tcW w:w="125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79"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3</w:t>
                  </w:r>
                </w:p>
              </w:tc>
              <w:tc>
                <w:tcPr>
                  <w:tcW w:w="1365" w:type="dxa"/>
                  <w:tcBorders>
                    <w:tl2br w:val="nil"/>
                    <w:tr2bl w:val="nil"/>
                  </w:tcBorders>
                  <w:vAlign w:val="top"/>
                </w:tcPr>
                <w:p>
                  <w:pPr>
                    <w:keepNext w:val="0"/>
                    <w:keepLines w:val="0"/>
                    <w:pageBreakBefore w:val="0"/>
                    <w:widowControl/>
                    <w:kinsoku/>
                    <w:wordWrap/>
                    <w:overflowPunct/>
                    <w:topLinePunct w:val="0"/>
                    <w:bidi w:val="0"/>
                    <w:adjustRightInd w:val="0"/>
                    <w:snapToGrid w:val="0"/>
                    <w:spacing w:after="0"/>
                    <w:jc w:val="center"/>
                    <w:textAlignment w:val="auto"/>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bCs/>
                      <w:color w:val="auto"/>
                      <w:szCs w:val="21"/>
                    </w:rPr>
                    <w:t>亚氯酸钠</w:t>
                  </w:r>
                </w:p>
              </w:tc>
              <w:tc>
                <w:tcPr>
                  <w:tcW w:w="126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vertAlign w:val="baseline"/>
                      <w:lang w:val="en-US" w:eastAsia="zh-CN"/>
                    </w:rPr>
                    <w:t>2.1kg/d</w:t>
                  </w:r>
                </w:p>
              </w:tc>
              <w:tc>
                <w:tcPr>
                  <w:tcW w:w="1350" w:type="dxa"/>
                  <w:tcBorders>
                    <w:tl2br w:val="nil"/>
                    <w:tr2bl w:val="nil"/>
                  </w:tcBorders>
                  <w:vAlign w:val="top"/>
                </w:tcPr>
                <w:p>
                  <w:pPr>
                    <w:keepNext w:val="0"/>
                    <w:keepLines w:val="0"/>
                    <w:pageBreakBefore w:val="0"/>
                    <w:widowControl/>
                    <w:kinsoku/>
                    <w:wordWrap/>
                    <w:overflowPunct/>
                    <w:topLinePunct w:val="0"/>
                    <w:bidi w:val="0"/>
                    <w:adjustRightInd w:val="0"/>
                    <w:snapToGrid w:val="0"/>
                    <w:spacing w:after="0"/>
                    <w:jc w:val="center"/>
                    <w:textAlignment w:val="auto"/>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bCs/>
                      <w:color w:val="auto"/>
                      <w:szCs w:val="21"/>
                    </w:rPr>
                    <w:t>亚氯酸钠</w:t>
                  </w:r>
                </w:p>
              </w:tc>
              <w:tc>
                <w:tcPr>
                  <w:tcW w:w="124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2.1kg/d</w:t>
                  </w:r>
                </w:p>
              </w:tc>
              <w:tc>
                <w:tcPr>
                  <w:tcW w:w="185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vertAlign w:val="baseline"/>
                    </w:rPr>
                    <w:t>袋装，约20kg/袋</w:t>
                  </w:r>
                </w:p>
              </w:tc>
              <w:tc>
                <w:tcPr>
                  <w:tcW w:w="125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79"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4</w:t>
                  </w:r>
                </w:p>
              </w:tc>
              <w:tc>
                <w:tcPr>
                  <w:tcW w:w="1365" w:type="dxa"/>
                  <w:tcBorders>
                    <w:tl2br w:val="nil"/>
                    <w:tr2bl w:val="nil"/>
                  </w:tcBorders>
                  <w:vAlign w:val="top"/>
                </w:tcPr>
                <w:p>
                  <w:pPr>
                    <w:keepNext w:val="0"/>
                    <w:keepLines w:val="0"/>
                    <w:pageBreakBefore w:val="0"/>
                    <w:widowControl/>
                    <w:kinsoku/>
                    <w:wordWrap/>
                    <w:overflowPunct/>
                    <w:topLinePunct w:val="0"/>
                    <w:bidi w:val="0"/>
                    <w:adjustRightInd w:val="0"/>
                    <w:snapToGrid w:val="0"/>
                    <w:spacing w:after="0"/>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bCs/>
                      <w:color w:val="auto"/>
                      <w:szCs w:val="21"/>
                    </w:rPr>
                    <w:t>PAC</w:t>
                  </w:r>
                </w:p>
              </w:tc>
              <w:tc>
                <w:tcPr>
                  <w:tcW w:w="126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1.85kg/d</w:t>
                  </w:r>
                </w:p>
              </w:tc>
              <w:tc>
                <w:tcPr>
                  <w:tcW w:w="1350" w:type="dxa"/>
                  <w:tcBorders>
                    <w:tl2br w:val="nil"/>
                    <w:tr2bl w:val="nil"/>
                  </w:tcBorders>
                  <w:vAlign w:val="top"/>
                </w:tcPr>
                <w:p>
                  <w:pPr>
                    <w:keepNext w:val="0"/>
                    <w:keepLines w:val="0"/>
                    <w:pageBreakBefore w:val="0"/>
                    <w:widowControl/>
                    <w:kinsoku/>
                    <w:wordWrap/>
                    <w:overflowPunct/>
                    <w:topLinePunct w:val="0"/>
                    <w:bidi w:val="0"/>
                    <w:adjustRightInd w:val="0"/>
                    <w:snapToGrid w:val="0"/>
                    <w:spacing w:after="0"/>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bCs/>
                      <w:color w:val="auto"/>
                      <w:szCs w:val="21"/>
                    </w:rPr>
                    <w:t>PAC</w:t>
                  </w:r>
                </w:p>
              </w:tc>
              <w:tc>
                <w:tcPr>
                  <w:tcW w:w="124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1.85kg/d</w:t>
                  </w:r>
                </w:p>
              </w:tc>
              <w:tc>
                <w:tcPr>
                  <w:tcW w:w="185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rPr>
                  </w:pPr>
                </w:p>
              </w:tc>
              <w:tc>
                <w:tcPr>
                  <w:tcW w:w="125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79"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5</w:t>
                  </w:r>
                </w:p>
              </w:tc>
              <w:tc>
                <w:tcPr>
                  <w:tcW w:w="1365" w:type="dxa"/>
                  <w:tcBorders>
                    <w:tl2br w:val="nil"/>
                    <w:tr2bl w:val="nil"/>
                  </w:tcBorders>
                  <w:vAlign w:val="center"/>
                </w:tcPr>
                <w:p>
                  <w:pPr>
                    <w:widowControl w:val="0"/>
                    <w:autoSpaceDE w:val="0"/>
                    <w:autoSpaceDN w:val="0"/>
                    <w:adjustRightInd w:val="0"/>
                    <w:snapToGrid w:val="0"/>
                    <w:spacing w:after="0"/>
                    <w:jc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rPr>
                    <w:t>电</w:t>
                  </w:r>
                </w:p>
              </w:tc>
              <w:tc>
                <w:tcPr>
                  <w:tcW w:w="126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280</w:t>
                  </w:r>
                  <w:r>
                    <w:rPr>
                      <w:rFonts w:hint="default" w:ascii="Times New Roman" w:hAnsi="Times New Roman" w:eastAsia="宋体" w:cs="Times New Roman"/>
                      <w:color w:val="auto"/>
                    </w:rPr>
                    <w:t>kw·h</w:t>
                  </w:r>
                </w:p>
              </w:tc>
              <w:tc>
                <w:tcPr>
                  <w:tcW w:w="1350" w:type="dxa"/>
                  <w:tcBorders>
                    <w:tl2br w:val="nil"/>
                    <w:tr2bl w:val="nil"/>
                  </w:tcBorders>
                  <w:vAlign w:val="center"/>
                </w:tcPr>
                <w:p>
                  <w:pPr>
                    <w:widowControl w:val="0"/>
                    <w:autoSpaceDE w:val="0"/>
                    <w:autoSpaceDN w:val="0"/>
                    <w:adjustRightInd w:val="0"/>
                    <w:snapToGrid w:val="0"/>
                    <w:spacing w:after="0"/>
                    <w:jc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rPr>
                    <w:t>电</w:t>
                  </w:r>
                </w:p>
              </w:tc>
              <w:tc>
                <w:tcPr>
                  <w:tcW w:w="124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vertAlign w:val="baseline"/>
                      <w:lang w:val="en-US" w:eastAsia="zh-CN"/>
                    </w:rPr>
                    <w:t>280</w:t>
                  </w:r>
                  <w:r>
                    <w:rPr>
                      <w:rFonts w:hint="default" w:ascii="Times New Roman" w:hAnsi="Times New Roman" w:eastAsia="宋体" w:cs="Times New Roman"/>
                      <w:color w:val="auto"/>
                    </w:rPr>
                    <w:t>kw·h</w:t>
                  </w:r>
                </w:p>
              </w:tc>
              <w:tc>
                <w:tcPr>
                  <w:tcW w:w="185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w:t>
                  </w:r>
                </w:p>
              </w:tc>
              <w:tc>
                <w:tcPr>
                  <w:tcW w:w="1259"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w:t>
                  </w:r>
                </w:p>
              </w:tc>
            </w:tr>
          </w:tbl>
          <w:p>
            <w:pPr>
              <w:keepNext w:val="0"/>
              <w:keepLines w:val="0"/>
              <w:pageBreakBefore w:val="0"/>
              <w:widowControl/>
              <w:kinsoku/>
              <w:wordWrap/>
              <w:overflowPunct/>
              <w:topLinePunct w:val="0"/>
              <w:autoSpaceDE/>
              <w:autoSpaceDN/>
              <w:bidi w:val="0"/>
              <w:adjustRightInd w:val="0"/>
              <w:snapToGrid w:val="0"/>
              <w:spacing w:before="181" w:beforeLines="50" w:after="0" w:afterLines="0" w:line="360" w:lineRule="auto"/>
              <w:jc w:val="both"/>
              <w:textAlignment w:val="auto"/>
              <w:rPr>
                <w:rFonts w:hint="default" w:ascii="Times New Roman" w:hAnsi="Times New Roman" w:eastAsia="楷体" w:cs="Times New Roman"/>
                <w:b/>
                <w:bCs/>
                <w:color w:val="000000"/>
                <w:sz w:val="28"/>
                <w:szCs w:val="28"/>
              </w:rPr>
            </w:pPr>
            <w:r>
              <w:rPr>
                <w:rFonts w:hint="eastAsia" w:ascii="Times New Roman" w:hAnsi="Times New Roman" w:eastAsia="楷体" w:cs="Times New Roman"/>
                <w:b/>
                <w:bCs/>
                <w:color w:val="000000"/>
                <w:sz w:val="28"/>
                <w:szCs w:val="28"/>
                <w:lang w:val="en-US" w:eastAsia="zh-CN"/>
              </w:rPr>
              <w:t xml:space="preserve">2.4 </w:t>
            </w:r>
            <w:r>
              <w:rPr>
                <w:rFonts w:hint="eastAsia" w:ascii="Times New Roman" w:hAnsi="Times New Roman" w:eastAsia="楷体" w:cs="Times New Roman"/>
                <w:b/>
                <w:bCs/>
                <w:color w:val="000000"/>
                <w:sz w:val="28"/>
                <w:szCs w:val="28"/>
              </w:rPr>
              <w:t>主要工艺设备</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项目主要工艺设备详见表</w:t>
            </w:r>
            <w:r>
              <w:rPr>
                <w:rFonts w:hint="eastAsia" w:ascii="Times New Roman" w:hAnsi="Times New Roman" w:eastAsia="宋体" w:cs="Times New Roman"/>
                <w:color w:val="000000"/>
                <w:sz w:val="24"/>
                <w:szCs w:val="24"/>
                <w:lang w:val="en-US" w:eastAsia="zh-CN"/>
              </w:rPr>
              <w:t>2-3</w:t>
            </w:r>
            <w:r>
              <w:rPr>
                <w:rFonts w:hint="eastAsia" w:ascii="Times New Roman" w:hAnsi="Times New Roman" w:eastAsia="宋体" w:cs="Times New Roman"/>
                <w:color w:val="000000"/>
                <w:sz w:val="24"/>
                <w:szCs w:val="24"/>
              </w:rPr>
              <w:t>；</w:t>
            </w:r>
          </w:p>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rPr>
              <w:t>表</w:t>
            </w:r>
            <w:r>
              <w:rPr>
                <w:rFonts w:hint="eastAsia" w:ascii="Times New Roman" w:hAnsi="Times New Roman" w:eastAsia="宋体" w:cs="Times New Roman"/>
                <w:b/>
                <w:bCs/>
                <w:color w:val="auto"/>
                <w:sz w:val="21"/>
                <w:szCs w:val="21"/>
                <w:lang w:val="en-US" w:eastAsia="zh-CN"/>
              </w:rPr>
              <w:t>2-3</w:t>
            </w:r>
            <w:r>
              <w:rPr>
                <w:rFonts w:hint="eastAsia" w:ascii="Times New Roman" w:hAnsi="Times New Roman" w:eastAsia="宋体" w:cs="Times New Roman"/>
                <w:b/>
                <w:bCs/>
                <w:color w:val="auto"/>
                <w:sz w:val="21"/>
                <w:szCs w:val="21"/>
              </w:rPr>
              <w:t xml:space="preserve">  主要设备一览表</w:t>
            </w:r>
          </w:p>
          <w:tbl>
            <w:tblPr>
              <w:tblStyle w:val="10"/>
              <w:tblW w:w="8717"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587"/>
              <w:gridCol w:w="2580"/>
              <w:gridCol w:w="2415"/>
              <w:gridCol w:w="1238"/>
              <w:gridCol w:w="791"/>
              <w:gridCol w:w="1106"/>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587"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序号</w:t>
                  </w:r>
                </w:p>
              </w:tc>
              <w:tc>
                <w:tcPr>
                  <w:tcW w:w="2580"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子目名称</w:t>
                  </w:r>
                </w:p>
              </w:tc>
              <w:tc>
                <w:tcPr>
                  <w:tcW w:w="2415"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规格型号</w:t>
                  </w:r>
                </w:p>
              </w:tc>
              <w:tc>
                <w:tcPr>
                  <w:tcW w:w="1238"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单位</w:t>
                  </w:r>
                </w:p>
              </w:tc>
              <w:tc>
                <w:tcPr>
                  <w:tcW w:w="791"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数量</w:t>
                  </w:r>
                </w:p>
              </w:tc>
              <w:tc>
                <w:tcPr>
                  <w:tcW w:w="1106"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备注</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587" w:type="dxa"/>
                  <w:tcBorders>
                    <w:tl2br w:val="nil"/>
                    <w:tr2bl w:val="nil"/>
                  </w:tcBorders>
                  <w:shd w:val="clear" w:color="auto" w:fill="C0C0C0"/>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1</w:t>
                  </w:r>
                </w:p>
              </w:tc>
              <w:tc>
                <w:tcPr>
                  <w:tcW w:w="2580" w:type="dxa"/>
                  <w:tcBorders>
                    <w:tl2br w:val="nil"/>
                    <w:tr2bl w:val="nil"/>
                  </w:tcBorders>
                  <w:shd w:val="clear" w:color="auto" w:fill="C0C0C0"/>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水厂原水入水系统</w:t>
                  </w:r>
                </w:p>
              </w:tc>
              <w:tc>
                <w:tcPr>
                  <w:tcW w:w="2415" w:type="dxa"/>
                  <w:tcBorders>
                    <w:tl2br w:val="nil"/>
                    <w:tr2bl w:val="nil"/>
                  </w:tcBorders>
                  <w:shd w:val="clear" w:color="auto" w:fill="C0C0C0"/>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p>
              </w:tc>
              <w:tc>
                <w:tcPr>
                  <w:tcW w:w="1238" w:type="dxa"/>
                  <w:tcBorders>
                    <w:tl2br w:val="nil"/>
                    <w:tr2bl w:val="nil"/>
                  </w:tcBorders>
                  <w:shd w:val="clear" w:color="auto" w:fill="C0C0C0"/>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p>
              </w:tc>
              <w:tc>
                <w:tcPr>
                  <w:tcW w:w="791" w:type="dxa"/>
                  <w:tcBorders>
                    <w:tl2br w:val="nil"/>
                    <w:tr2bl w:val="nil"/>
                  </w:tcBorders>
                  <w:shd w:val="clear" w:color="auto" w:fill="C0C0C0"/>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p>
              </w:tc>
              <w:tc>
                <w:tcPr>
                  <w:tcW w:w="1106" w:type="dxa"/>
                  <w:tcBorders>
                    <w:tl2br w:val="nil"/>
                    <w:tr2bl w:val="nil"/>
                  </w:tcBorders>
                  <w:shd w:val="clear" w:color="auto" w:fill="C0C0C0"/>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587"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1.1</w:t>
                  </w:r>
                </w:p>
              </w:tc>
              <w:tc>
                <w:tcPr>
                  <w:tcW w:w="2580"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电磁流量计</w:t>
                  </w:r>
                </w:p>
              </w:tc>
              <w:tc>
                <w:tcPr>
                  <w:tcW w:w="2415"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60m</w:t>
                  </w:r>
                  <w:r>
                    <w:rPr>
                      <w:rFonts w:hint="default" w:ascii="Times New Roman" w:hAnsi="Times New Roman" w:eastAsia="宋体" w:cs="Times New Roman"/>
                      <w:sz w:val="21"/>
                      <w:lang w:val="en-US" w:eastAsia="zh-CN"/>
                    </w:rPr>
                    <w:t>3</w:t>
                  </w:r>
                  <w:r>
                    <w:rPr>
                      <w:rFonts w:hint="default" w:ascii="Times New Roman" w:hAnsi="Times New Roman" w:eastAsia="宋体" w:cs="Times New Roman"/>
                      <w:sz w:val="21"/>
                    </w:rPr>
                    <w:t>/h,分体式</w:t>
                  </w:r>
                </w:p>
              </w:tc>
              <w:tc>
                <w:tcPr>
                  <w:tcW w:w="1238"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套</w:t>
                  </w:r>
                </w:p>
              </w:tc>
              <w:tc>
                <w:tcPr>
                  <w:tcW w:w="791"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1</w:t>
                  </w:r>
                </w:p>
              </w:tc>
              <w:tc>
                <w:tcPr>
                  <w:tcW w:w="1106"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52" w:hRule="atLeast"/>
                <w:jc w:val="center"/>
              </w:trPr>
              <w:tc>
                <w:tcPr>
                  <w:tcW w:w="587"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1.2</w:t>
                  </w:r>
                </w:p>
              </w:tc>
              <w:tc>
                <w:tcPr>
                  <w:tcW w:w="2580"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电动对夹式调节型中线蝶阀</w:t>
                  </w:r>
                </w:p>
              </w:tc>
              <w:tc>
                <w:tcPr>
                  <w:tcW w:w="2415"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DN150,调节型,220V</w:t>
                  </w:r>
                </w:p>
              </w:tc>
              <w:tc>
                <w:tcPr>
                  <w:tcW w:w="1238"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个</w:t>
                  </w:r>
                </w:p>
              </w:tc>
              <w:tc>
                <w:tcPr>
                  <w:tcW w:w="791"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1</w:t>
                  </w:r>
                </w:p>
              </w:tc>
              <w:tc>
                <w:tcPr>
                  <w:tcW w:w="1106"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587"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1.3</w:t>
                  </w:r>
                </w:p>
              </w:tc>
              <w:tc>
                <w:tcPr>
                  <w:tcW w:w="2580"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蜗轮传动对夹式中线蝶阀</w:t>
                  </w:r>
                </w:p>
              </w:tc>
              <w:tc>
                <w:tcPr>
                  <w:tcW w:w="2415"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DN150</w:t>
                  </w:r>
                </w:p>
              </w:tc>
              <w:tc>
                <w:tcPr>
                  <w:tcW w:w="1238"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个</w:t>
                  </w:r>
                </w:p>
              </w:tc>
              <w:tc>
                <w:tcPr>
                  <w:tcW w:w="791"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1</w:t>
                  </w:r>
                </w:p>
              </w:tc>
              <w:tc>
                <w:tcPr>
                  <w:tcW w:w="1106"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587"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1.4</w:t>
                  </w:r>
                </w:p>
              </w:tc>
              <w:tc>
                <w:tcPr>
                  <w:tcW w:w="2580"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可曲挠橡胶接头</w:t>
                  </w:r>
                </w:p>
              </w:tc>
              <w:tc>
                <w:tcPr>
                  <w:tcW w:w="2415"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DN150,PN1.0</w:t>
                  </w:r>
                </w:p>
              </w:tc>
              <w:tc>
                <w:tcPr>
                  <w:tcW w:w="1238"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个</w:t>
                  </w:r>
                </w:p>
              </w:tc>
              <w:tc>
                <w:tcPr>
                  <w:tcW w:w="791"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1</w:t>
                  </w:r>
                </w:p>
              </w:tc>
              <w:tc>
                <w:tcPr>
                  <w:tcW w:w="1106"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587"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1.5</w:t>
                  </w:r>
                </w:p>
              </w:tc>
              <w:tc>
                <w:tcPr>
                  <w:tcW w:w="2580"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90°钢制弯头</w:t>
                  </w:r>
                </w:p>
              </w:tc>
              <w:tc>
                <w:tcPr>
                  <w:tcW w:w="2415"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DN150</w:t>
                  </w:r>
                </w:p>
              </w:tc>
              <w:tc>
                <w:tcPr>
                  <w:tcW w:w="1238"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个</w:t>
                  </w:r>
                </w:p>
              </w:tc>
              <w:tc>
                <w:tcPr>
                  <w:tcW w:w="791"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2</w:t>
                  </w:r>
                </w:p>
              </w:tc>
              <w:tc>
                <w:tcPr>
                  <w:tcW w:w="1106"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587"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1.6</w:t>
                  </w:r>
                </w:p>
              </w:tc>
              <w:tc>
                <w:tcPr>
                  <w:tcW w:w="2580"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管道混合器</w:t>
                  </w:r>
                </w:p>
              </w:tc>
              <w:tc>
                <w:tcPr>
                  <w:tcW w:w="2415"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DN150</w:t>
                  </w:r>
                </w:p>
              </w:tc>
              <w:tc>
                <w:tcPr>
                  <w:tcW w:w="1238"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个</w:t>
                  </w:r>
                </w:p>
              </w:tc>
              <w:tc>
                <w:tcPr>
                  <w:tcW w:w="791"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1</w:t>
                  </w:r>
                </w:p>
              </w:tc>
              <w:tc>
                <w:tcPr>
                  <w:tcW w:w="1106"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587" w:type="dxa"/>
                  <w:tcBorders>
                    <w:tl2br w:val="nil"/>
                    <w:tr2bl w:val="nil"/>
                  </w:tcBorders>
                  <w:shd w:val="clear" w:color="auto" w:fill="C0C0C0"/>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2</w:t>
                  </w:r>
                </w:p>
              </w:tc>
              <w:tc>
                <w:tcPr>
                  <w:tcW w:w="2580" w:type="dxa"/>
                  <w:tcBorders>
                    <w:tl2br w:val="nil"/>
                    <w:tr2bl w:val="nil"/>
                  </w:tcBorders>
                  <w:shd w:val="clear" w:color="auto" w:fill="C0C0C0"/>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集成式一体化净水系统</w:t>
                  </w:r>
                </w:p>
              </w:tc>
              <w:tc>
                <w:tcPr>
                  <w:tcW w:w="2415" w:type="dxa"/>
                  <w:tcBorders>
                    <w:tl2br w:val="nil"/>
                    <w:tr2bl w:val="nil"/>
                  </w:tcBorders>
                  <w:shd w:val="clear" w:color="auto" w:fill="C0C0C0"/>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p>
              </w:tc>
              <w:tc>
                <w:tcPr>
                  <w:tcW w:w="1238" w:type="dxa"/>
                  <w:tcBorders>
                    <w:tl2br w:val="nil"/>
                    <w:tr2bl w:val="nil"/>
                  </w:tcBorders>
                  <w:shd w:val="clear" w:color="auto" w:fill="C0C0C0"/>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p>
              </w:tc>
              <w:tc>
                <w:tcPr>
                  <w:tcW w:w="791" w:type="dxa"/>
                  <w:tcBorders>
                    <w:tl2br w:val="nil"/>
                    <w:tr2bl w:val="nil"/>
                  </w:tcBorders>
                  <w:shd w:val="clear" w:color="auto" w:fill="C0C0C0"/>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p>
              </w:tc>
              <w:tc>
                <w:tcPr>
                  <w:tcW w:w="1106" w:type="dxa"/>
                  <w:tcBorders>
                    <w:tl2br w:val="nil"/>
                    <w:tr2bl w:val="nil"/>
                  </w:tcBorders>
                  <w:shd w:val="clear" w:color="auto" w:fill="C0C0C0"/>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52" w:hRule="atLeast"/>
                <w:jc w:val="center"/>
              </w:trPr>
              <w:tc>
                <w:tcPr>
                  <w:tcW w:w="587"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p>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2.1</w:t>
                  </w:r>
                </w:p>
              </w:tc>
              <w:tc>
                <w:tcPr>
                  <w:tcW w:w="2580"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集成式一体化净水设备本体</w:t>
                  </w:r>
                </w:p>
              </w:tc>
              <w:tc>
                <w:tcPr>
                  <w:tcW w:w="2415"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处理能力：</w:t>
                  </w:r>
                  <w:r>
                    <w:rPr>
                      <w:rFonts w:hint="eastAsia" w:ascii="Times New Roman" w:hAnsi="Times New Roman" w:eastAsia="宋体" w:cs="Times New Roman"/>
                      <w:sz w:val="21"/>
                      <w:lang w:val="en-US" w:eastAsia="zh-CN"/>
                    </w:rPr>
                    <w:t>1000</w:t>
                  </w:r>
                  <w:r>
                    <w:rPr>
                      <w:rFonts w:hint="default" w:ascii="Times New Roman" w:hAnsi="Times New Roman" w:eastAsia="宋体" w:cs="Times New Roman"/>
                      <w:sz w:val="21"/>
                    </w:rPr>
                    <w:t xml:space="preserve"> m</w:t>
                  </w:r>
                  <w:r>
                    <w:rPr>
                      <w:rFonts w:hint="default" w:ascii="Times New Roman" w:hAnsi="Times New Roman" w:eastAsia="宋体" w:cs="Times New Roman"/>
                      <w:sz w:val="21"/>
                      <w:vertAlign w:val="superscript"/>
                      <w:lang w:val="en-US" w:eastAsia="zh-CN"/>
                    </w:rPr>
                    <w:t>3</w:t>
                  </w:r>
                  <w:r>
                    <w:rPr>
                      <w:rFonts w:hint="default" w:ascii="Times New Roman" w:hAnsi="Times New Roman" w:eastAsia="宋体" w:cs="Times New Roman"/>
                      <w:sz w:val="21"/>
                    </w:rPr>
                    <w:t>/d</w:t>
                  </w:r>
                </w:p>
              </w:tc>
              <w:tc>
                <w:tcPr>
                  <w:tcW w:w="1238"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台</w:t>
                  </w:r>
                </w:p>
              </w:tc>
              <w:tc>
                <w:tcPr>
                  <w:tcW w:w="791"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1</w:t>
                  </w:r>
                </w:p>
              </w:tc>
              <w:tc>
                <w:tcPr>
                  <w:tcW w:w="1106"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587"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2.2</w:t>
                  </w:r>
                </w:p>
              </w:tc>
              <w:tc>
                <w:tcPr>
                  <w:tcW w:w="2580"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蜗轮传动对夹式中线蝶阀</w:t>
                  </w:r>
                </w:p>
              </w:tc>
              <w:tc>
                <w:tcPr>
                  <w:tcW w:w="2415"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DN150</w:t>
                  </w:r>
                </w:p>
              </w:tc>
              <w:tc>
                <w:tcPr>
                  <w:tcW w:w="1238"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套</w:t>
                  </w:r>
                </w:p>
              </w:tc>
              <w:tc>
                <w:tcPr>
                  <w:tcW w:w="791"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3</w:t>
                  </w:r>
                </w:p>
              </w:tc>
              <w:tc>
                <w:tcPr>
                  <w:tcW w:w="1106"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52" w:hRule="atLeast"/>
                <w:jc w:val="center"/>
              </w:trPr>
              <w:tc>
                <w:tcPr>
                  <w:tcW w:w="587"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2.3</w:t>
                  </w:r>
                </w:p>
              </w:tc>
              <w:tc>
                <w:tcPr>
                  <w:tcW w:w="2580"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电动对夹式开关型中线蝶</w:t>
                  </w:r>
                </w:p>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阀</w:t>
                  </w:r>
                </w:p>
              </w:tc>
              <w:tc>
                <w:tcPr>
                  <w:tcW w:w="2415"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DN150,开关型,220V</w:t>
                  </w:r>
                </w:p>
              </w:tc>
              <w:tc>
                <w:tcPr>
                  <w:tcW w:w="1238"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套</w:t>
                  </w:r>
                </w:p>
              </w:tc>
              <w:tc>
                <w:tcPr>
                  <w:tcW w:w="791"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2</w:t>
                  </w:r>
                </w:p>
              </w:tc>
              <w:tc>
                <w:tcPr>
                  <w:tcW w:w="1106"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52" w:hRule="atLeast"/>
                <w:jc w:val="center"/>
              </w:trPr>
              <w:tc>
                <w:tcPr>
                  <w:tcW w:w="587"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2.4</w:t>
                  </w:r>
                </w:p>
              </w:tc>
              <w:tc>
                <w:tcPr>
                  <w:tcW w:w="2580"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电动对夹式开关型中线蝶</w:t>
                  </w:r>
                </w:p>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阀</w:t>
                  </w:r>
                </w:p>
              </w:tc>
              <w:tc>
                <w:tcPr>
                  <w:tcW w:w="2415"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DN250,开关型,220V</w:t>
                  </w:r>
                </w:p>
              </w:tc>
              <w:tc>
                <w:tcPr>
                  <w:tcW w:w="1238"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套</w:t>
                  </w:r>
                </w:p>
              </w:tc>
              <w:tc>
                <w:tcPr>
                  <w:tcW w:w="791"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1</w:t>
                  </w:r>
                </w:p>
              </w:tc>
              <w:tc>
                <w:tcPr>
                  <w:tcW w:w="1106"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587" w:type="dxa"/>
                  <w:tcBorders>
                    <w:tl2br w:val="nil"/>
                    <w:tr2bl w:val="nil"/>
                  </w:tcBorders>
                  <w:shd w:val="clear" w:color="auto" w:fill="C0C0C0"/>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3</w:t>
                  </w:r>
                </w:p>
              </w:tc>
              <w:tc>
                <w:tcPr>
                  <w:tcW w:w="2580" w:type="dxa"/>
                  <w:tcBorders>
                    <w:tl2br w:val="nil"/>
                    <w:tr2bl w:val="nil"/>
                  </w:tcBorders>
                  <w:shd w:val="clear" w:color="auto" w:fill="C0C0C0"/>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水厂净水出水系统</w:t>
                  </w:r>
                </w:p>
              </w:tc>
              <w:tc>
                <w:tcPr>
                  <w:tcW w:w="2415" w:type="dxa"/>
                  <w:tcBorders>
                    <w:tl2br w:val="nil"/>
                    <w:tr2bl w:val="nil"/>
                  </w:tcBorders>
                  <w:shd w:val="clear" w:color="auto" w:fill="C0C0C0"/>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p>
              </w:tc>
              <w:tc>
                <w:tcPr>
                  <w:tcW w:w="1238" w:type="dxa"/>
                  <w:tcBorders>
                    <w:tl2br w:val="nil"/>
                    <w:tr2bl w:val="nil"/>
                  </w:tcBorders>
                  <w:shd w:val="clear" w:color="auto" w:fill="C0C0C0"/>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p>
              </w:tc>
              <w:tc>
                <w:tcPr>
                  <w:tcW w:w="791" w:type="dxa"/>
                  <w:tcBorders>
                    <w:tl2br w:val="nil"/>
                    <w:tr2bl w:val="nil"/>
                  </w:tcBorders>
                  <w:shd w:val="clear" w:color="auto" w:fill="C0C0C0"/>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p>
              </w:tc>
              <w:tc>
                <w:tcPr>
                  <w:tcW w:w="1106" w:type="dxa"/>
                  <w:tcBorders>
                    <w:tl2br w:val="nil"/>
                    <w:tr2bl w:val="nil"/>
                  </w:tcBorders>
                  <w:shd w:val="clear" w:color="auto" w:fill="C0C0C0"/>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52" w:hRule="atLeast"/>
                <w:jc w:val="center"/>
              </w:trPr>
              <w:tc>
                <w:tcPr>
                  <w:tcW w:w="587"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3.1</w:t>
                  </w:r>
                </w:p>
              </w:tc>
              <w:tc>
                <w:tcPr>
                  <w:tcW w:w="2580"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电动对夹式调节型中线蝶</w:t>
                  </w:r>
                </w:p>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阀</w:t>
                  </w:r>
                </w:p>
              </w:tc>
              <w:tc>
                <w:tcPr>
                  <w:tcW w:w="2415"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DN200,调节型,220V</w:t>
                  </w:r>
                </w:p>
              </w:tc>
              <w:tc>
                <w:tcPr>
                  <w:tcW w:w="1238"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个</w:t>
                  </w:r>
                </w:p>
              </w:tc>
              <w:tc>
                <w:tcPr>
                  <w:tcW w:w="791"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1</w:t>
                  </w:r>
                </w:p>
              </w:tc>
              <w:tc>
                <w:tcPr>
                  <w:tcW w:w="1106"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587"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3.2</w:t>
                  </w:r>
                </w:p>
              </w:tc>
              <w:tc>
                <w:tcPr>
                  <w:tcW w:w="2580"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可曲挠橡胶接头</w:t>
                  </w:r>
                </w:p>
              </w:tc>
              <w:tc>
                <w:tcPr>
                  <w:tcW w:w="2415"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DN200，PN1.0</w:t>
                  </w:r>
                </w:p>
              </w:tc>
              <w:tc>
                <w:tcPr>
                  <w:tcW w:w="1238"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个</w:t>
                  </w:r>
                </w:p>
              </w:tc>
              <w:tc>
                <w:tcPr>
                  <w:tcW w:w="791"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1</w:t>
                  </w:r>
                </w:p>
              </w:tc>
              <w:tc>
                <w:tcPr>
                  <w:tcW w:w="1106"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587"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3.3</w:t>
                  </w:r>
                </w:p>
              </w:tc>
              <w:tc>
                <w:tcPr>
                  <w:tcW w:w="2580"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90°钢制弯头</w:t>
                  </w:r>
                </w:p>
              </w:tc>
              <w:tc>
                <w:tcPr>
                  <w:tcW w:w="2415"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DN200，PN1.0</w:t>
                  </w:r>
                </w:p>
              </w:tc>
              <w:tc>
                <w:tcPr>
                  <w:tcW w:w="1238"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个</w:t>
                  </w:r>
                </w:p>
              </w:tc>
              <w:tc>
                <w:tcPr>
                  <w:tcW w:w="791"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2</w:t>
                  </w:r>
                </w:p>
              </w:tc>
              <w:tc>
                <w:tcPr>
                  <w:tcW w:w="1106"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587" w:type="dxa"/>
                  <w:tcBorders>
                    <w:tl2br w:val="nil"/>
                    <w:tr2bl w:val="nil"/>
                  </w:tcBorders>
                  <w:shd w:val="clear" w:color="auto" w:fill="C0C0C0"/>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4</w:t>
                  </w:r>
                </w:p>
              </w:tc>
              <w:tc>
                <w:tcPr>
                  <w:tcW w:w="2580" w:type="dxa"/>
                  <w:tcBorders>
                    <w:tl2br w:val="nil"/>
                    <w:tr2bl w:val="nil"/>
                  </w:tcBorders>
                  <w:shd w:val="clear" w:color="auto" w:fill="C0C0C0"/>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PAC 制配投加系统</w:t>
                  </w:r>
                </w:p>
              </w:tc>
              <w:tc>
                <w:tcPr>
                  <w:tcW w:w="2415" w:type="dxa"/>
                  <w:tcBorders>
                    <w:tl2br w:val="nil"/>
                    <w:tr2bl w:val="nil"/>
                  </w:tcBorders>
                  <w:shd w:val="clear" w:color="auto" w:fill="C0C0C0"/>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PAC-1.0/50×2</w:t>
                  </w:r>
                </w:p>
              </w:tc>
              <w:tc>
                <w:tcPr>
                  <w:tcW w:w="1238" w:type="dxa"/>
                  <w:tcBorders>
                    <w:tl2br w:val="nil"/>
                    <w:tr2bl w:val="nil"/>
                  </w:tcBorders>
                  <w:shd w:val="clear" w:color="auto" w:fill="C0C0C0"/>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p>
              </w:tc>
              <w:tc>
                <w:tcPr>
                  <w:tcW w:w="791" w:type="dxa"/>
                  <w:tcBorders>
                    <w:tl2br w:val="nil"/>
                    <w:tr2bl w:val="nil"/>
                  </w:tcBorders>
                  <w:shd w:val="clear" w:color="auto" w:fill="C0C0C0"/>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p>
              </w:tc>
              <w:tc>
                <w:tcPr>
                  <w:tcW w:w="1106" w:type="dxa"/>
                  <w:tcBorders>
                    <w:tl2br w:val="nil"/>
                    <w:tr2bl w:val="nil"/>
                  </w:tcBorders>
                  <w:shd w:val="clear" w:color="auto" w:fill="C0C0C0"/>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587"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4.1</w:t>
                  </w:r>
                </w:p>
              </w:tc>
              <w:tc>
                <w:tcPr>
                  <w:tcW w:w="2580"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PAC 制配系统</w:t>
                  </w:r>
                </w:p>
              </w:tc>
              <w:tc>
                <w:tcPr>
                  <w:tcW w:w="2415"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lang w:val="en-US" w:eastAsia="zh-CN"/>
                    </w:rPr>
                  </w:pPr>
                  <w:r>
                    <w:rPr>
                      <w:rFonts w:hint="default" w:ascii="Times New Roman" w:hAnsi="Times New Roman" w:eastAsia="宋体" w:cs="Times New Roman"/>
                      <w:sz w:val="21"/>
                    </w:rPr>
                    <w:t>有效容积 1m</w:t>
                  </w:r>
                  <w:r>
                    <w:rPr>
                      <w:rFonts w:hint="default" w:ascii="Times New Roman" w:hAnsi="Times New Roman" w:eastAsia="宋体" w:cs="Times New Roman"/>
                      <w:sz w:val="21"/>
                      <w:lang w:val="en-US" w:eastAsia="zh-CN"/>
                    </w:rPr>
                    <w:t>3</w:t>
                  </w:r>
                </w:p>
              </w:tc>
              <w:tc>
                <w:tcPr>
                  <w:tcW w:w="1238"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套</w:t>
                  </w:r>
                </w:p>
              </w:tc>
              <w:tc>
                <w:tcPr>
                  <w:tcW w:w="791"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1</w:t>
                  </w:r>
                </w:p>
              </w:tc>
              <w:tc>
                <w:tcPr>
                  <w:tcW w:w="1106"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587"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4.2</w:t>
                  </w:r>
                </w:p>
              </w:tc>
              <w:tc>
                <w:tcPr>
                  <w:tcW w:w="2580"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PAC 投加系统</w:t>
                  </w:r>
                </w:p>
              </w:tc>
              <w:tc>
                <w:tcPr>
                  <w:tcW w:w="2415"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单泵流量 50L/h</w:t>
                  </w:r>
                </w:p>
              </w:tc>
              <w:tc>
                <w:tcPr>
                  <w:tcW w:w="1238"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套</w:t>
                  </w:r>
                </w:p>
              </w:tc>
              <w:tc>
                <w:tcPr>
                  <w:tcW w:w="791"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2</w:t>
                  </w:r>
                </w:p>
              </w:tc>
              <w:tc>
                <w:tcPr>
                  <w:tcW w:w="1106"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一用一备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587" w:type="dxa"/>
                  <w:tcBorders>
                    <w:tl2br w:val="nil"/>
                    <w:tr2bl w:val="nil"/>
                  </w:tcBorders>
                  <w:shd w:val="clear" w:color="auto" w:fill="C0C0C0"/>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5</w:t>
                  </w:r>
                </w:p>
              </w:tc>
              <w:tc>
                <w:tcPr>
                  <w:tcW w:w="2580" w:type="dxa"/>
                  <w:tcBorders>
                    <w:tl2br w:val="nil"/>
                    <w:tr2bl w:val="nil"/>
                  </w:tcBorders>
                  <w:shd w:val="clear" w:color="auto" w:fill="C0C0C0"/>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PAM 制配投加系统</w:t>
                  </w:r>
                </w:p>
              </w:tc>
              <w:tc>
                <w:tcPr>
                  <w:tcW w:w="2415" w:type="dxa"/>
                  <w:tcBorders>
                    <w:tl2br w:val="nil"/>
                    <w:tr2bl w:val="nil"/>
                  </w:tcBorders>
                  <w:shd w:val="clear" w:color="auto" w:fill="C0C0C0"/>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PAM-1.0/50×2</w:t>
                  </w:r>
                </w:p>
              </w:tc>
              <w:tc>
                <w:tcPr>
                  <w:tcW w:w="1238" w:type="dxa"/>
                  <w:tcBorders>
                    <w:tl2br w:val="nil"/>
                    <w:tr2bl w:val="nil"/>
                  </w:tcBorders>
                  <w:shd w:val="clear" w:color="auto" w:fill="C0C0C0"/>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p>
              </w:tc>
              <w:tc>
                <w:tcPr>
                  <w:tcW w:w="791" w:type="dxa"/>
                  <w:tcBorders>
                    <w:tl2br w:val="nil"/>
                    <w:tr2bl w:val="nil"/>
                  </w:tcBorders>
                  <w:shd w:val="clear" w:color="auto" w:fill="C0C0C0"/>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p>
              </w:tc>
              <w:tc>
                <w:tcPr>
                  <w:tcW w:w="1106" w:type="dxa"/>
                  <w:tcBorders>
                    <w:tl2br w:val="nil"/>
                    <w:tr2bl w:val="nil"/>
                  </w:tcBorders>
                  <w:shd w:val="clear" w:color="auto" w:fill="C0C0C0"/>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587"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5.1</w:t>
                  </w:r>
                </w:p>
              </w:tc>
              <w:tc>
                <w:tcPr>
                  <w:tcW w:w="2580"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PAM 制配系统</w:t>
                  </w:r>
                </w:p>
              </w:tc>
              <w:tc>
                <w:tcPr>
                  <w:tcW w:w="2415"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有效容积 1m3</w:t>
                  </w:r>
                </w:p>
              </w:tc>
              <w:tc>
                <w:tcPr>
                  <w:tcW w:w="1238"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套</w:t>
                  </w:r>
                </w:p>
              </w:tc>
              <w:tc>
                <w:tcPr>
                  <w:tcW w:w="791"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1</w:t>
                  </w:r>
                </w:p>
              </w:tc>
              <w:tc>
                <w:tcPr>
                  <w:tcW w:w="1106"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587"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5.2</w:t>
                  </w:r>
                </w:p>
              </w:tc>
              <w:tc>
                <w:tcPr>
                  <w:tcW w:w="2580"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PAM 投加系统</w:t>
                  </w:r>
                </w:p>
              </w:tc>
              <w:tc>
                <w:tcPr>
                  <w:tcW w:w="2415"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单泵流量 50L/h</w:t>
                  </w:r>
                </w:p>
              </w:tc>
              <w:tc>
                <w:tcPr>
                  <w:tcW w:w="1238"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套</w:t>
                  </w:r>
                </w:p>
              </w:tc>
              <w:tc>
                <w:tcPr>
                  <w:tcW w:w="791"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2</w:t>
                  </w:r>
                </w:p>
              </w:tc>
              <w:tc>
                <w:tcPr>
                  <w:tcW w:w="1106"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一用一备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587" w:type="dxa"/>
                  <w:tcBorders>
                    <w:tl2br w:val="nil"/>
                    <w:tr2bl w:val="nil"/>
                  </w:tcBorders>
                  <w:shd w:val="clear" w:color="auto" w:fill="A6A6A6"/>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6</w:t>
                  </w:r>
                </w:p>
              </w:tc>
              <w:tc>
                <w:tcPr>
                  <w:tcW w:w="2580" w:type="dxa"/>
                  <w:tcBorders>
                    <w:tl2br w:val="nil"/>
                    <w:tr2bl w:val="nil"/>
                  </w:tcBorders>
                  <w:shd w:val="clear" w:color="auto" w:fill="A6A6A6"/>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次氯酸钠消毒系统</w:t>
                  </w:r>
                </w:p>
              </w:tc>
              <w:tc>
                <w:tcPr>
                  <w:tcW w:w="2415" w:type="dxa"/>
                  <w:tcBorders>
                    <w:tl2br w:val="nil"/>
                    <w:tr2bl w:val="nil"/>
                  </w:tcBorders>
                  <w:shd w:val="clear" w:color="auto" w:fill="A6A6A6"/>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p>
              </w:tc>
              <w:tc>
                <w:tcPr>
                  <w:tcW w:w="1238" w:type="dxa"/>
                  <w:tcBorders>
                    <w:tl2br w:val="nil"/>
                    <w:tr2bl w:val="nil"/>
                  </w:tcBorders>
                  <w:shd w:val="clear" w:color="auto" w:fill="A6A6A6"/>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p>
              </w:tc>
              <w:tc>
                <w:tcPr>
                  <w:tcW w:w="791" w:type="dxa"/>
                  <w:tcBorders>
                    <w:tl2br w:val="nil"/>
                    <w:tr2bl w:val="nil"/>
                  </w:tcBorders>
                  <w:shd w:val="clear" w:color="auto" w:fill="A6A6A6"/>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p>
              </w:tc>
              <w:tc>
                <w:tcPr>
                  <w:tcW w:w="1106" w:type="dxa"/>
                  <w:tcBorders>
                    <w:tl2br w:val="nil"/>
                    <w:tr2bl w:val="nil"/>
                  </w:tcBorders>
                  <w:shd w:val="clear" w:color="auto" w:fill="A6A6A6"/>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587"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6.1</w:t>
                  </w:r>
                </w:p>
              </w:tc>
              <w:tc>
                <w:tcPr>
                  <w:tcW w:w="2580"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电解次氯酸钠发生器</w:t>
                  </w:r>
                </w:p>
              </w:tc>
              <w:tc>
                <w:tcPr>
                  <w:tcW w:w="2415"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有效氯产量：100g/h</w:t>
                  </w:r>
                </w:p>
              </w:tc>
              <w:tc>
                <w:tcPr>
                  <w:tcW w:w="1238"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台</w:t>
                  </w:r>
                </w:p>
              </w:tc>
              <w:tc>
                <w:tcPr>
                  <w:tcW w:w="791"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1</w:t>
                  </w:r>
                </w:p>
              </w:tc>
              <w:tc>
                <w:tcPr>
                  <w:tcW w:w="1106"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587" w:type="dxa"/>
                  <w:tcBorders>
                    <w:tl2br w:val="nil"/>
                    <w:tr2bl w:val="nil"/>
                  </w:tcBorders>
                  <w:shd w:val="clear" w:color="auto" w:fill="C0C0C0"/>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7</w:t>
                  </w:r>
                </w:p>
              </w:tc>
              <w:tc>
                <w:tcPr>
                  <w:tcW w:w="2580" w:type="dxa"/>
                  <w:tcBorders>
                    <w:tl2br w:val="nil"/>
                    <w:tr2bl w:val="nil"/>
                  </w:tcBorders>
                  <w:shd w:val="clear" w:color="auto" w:fill="C0C0C0"/>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反冲洗系统</w:t>
                  </w:r>
                </w:p>
              </w:tc>
              <w:tc>
                <w:tcPr>
                  <w:tcW w:w="2415" w:type="dxa"/>
                  <w:tcBorders>
                    <w:tl2br w:val="nil"/>
                    <w:tr2bl w:val="nil"/>
                  </w:tcBorders>
                  <w:shd w:val="clear" w:color="auto" w:fill="C0C0C0"/>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潜污泵、离心泵可选</w:t>
                  </w:r>
                </w:p>
              </w:tc>
              <w:tc>
                <w:tcPr>
                  <w:tcW w:w="1238" w:type="dxa"/>
                  <w:tcBorders>
                    <w:tl2br w:val="nil"/>
                    <w:tr2bl w:val="nil"/>
                  </w:tcBorders>
                  <w:shd w:val="clear" w:color="auto" w:fill="C0C0C0"/>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p>
              </w:tc>
              <w:tc>
                <w:tcPr>
                  <w:tcW w:w="791" w:type="dxa"/>
                  <w:tcBorders>
                    <w:tl2br w:val="nil"/>
                    <w:tr2bl w:val="nil"/>
                  </w:tcBorders>
                  <w:shd w:val="clear" w:color="auto" w:fill="C0C0C0"/>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p>
              </w:tc>
              <w:tc>
                <w:tcPr>
                  <w:tcW w:w="1106" w:type="dxa"/>
                  <w:tcBorders>
                    <w:tl2br w:val="nil"/>
                    <w:tr2bl w:val="nil"/>
                  </w:tcBorders>
                  <w:shd w:val="clear" w:color="auto" w:fill="C0C0C0"/>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587"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7.1</w:t>
                  </w:r>
                </w:p>
              </w:tc>
              <w:tc>
                <w:tcPr>
                  <w:tcW w:w="2580"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潜水排污泵</w:t>
                  </w:r>
                </w:p>
              </w:tc>
              <w:tc>
                <w:tcPr>
                  <w:tcW w:w="2415"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Q=200m</w:t>
                  </w:r>
                  <w:r>
                    <w:rPr>
                      <w:rFonts w:hint="default" w:ascii="Times New Roman" w:hAnsi="Times New Roman" w:eastAsia="宋体" w:cs="Times New Roman"/>
                      <w:sz w:val="21"/>
                      <w:lang w:val="en-US" w:eastAsia="zh-CN"/>
                    </w:rPr>
                    <w:t>3</w:t>
                  </w:r>
                  <w:r>
                    <w:rPr>
                      <w:rFonts w:hint="default" w:ascii="Times New Roman" w:hAnsi="Times New Roman" w:eastAsia="宋体" w:cs="Times New Roman"/>
                      <w:sz w:val="21"/>
                    </w:rPr>
                    <w:t>/h，H=10m</w:t>
                  </w:r>
                </w:p>
              </w:tc>
              <w:tc>
                <w:tcPr>
                  <w:tcW w:w="1238"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台</w:t>
                  </w:r>
                </w:p>
              </w:tc>
              <w:tc>
                <w:tcPr>
                  <w:tcW w:w="791"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2</w:t>
                  </w:r>
                </w:p>
              </w:tc>
              <w:tc>
                <w:tcPr>
                  <w:tcW w:w="1106"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587"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7.2</w:t>
                  </w:r>
                </w:p>
              </w:tc>
              <w:tc>
                <w:tcPr>
                  <w:tcW w:w="2580"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蜗轮传动对夹式中线蝶阀</w:t>
                  </w:r>
                </w:p>
              </w:tc>
              <w:tc>
                <w:tcPr>
                  <w:tcW w:w="2415"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DN150</w:t>
                  </w:r>
                </w:p>
              </w:tc>
              <w:tc>
                <w:tcPr>
                  <w:tcW w:w="1238"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个</w:t>
                  </w:r>
                </w:p>
              </w:tc>
              <w:tc>
                <w:tcPr>
                  <w:tcW w:w="791"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2</w:t>
                  </w:r>
                </w:p>
              </w:tc>
              <w:tc>
                <w:tcPr>
                  <w:tcW w:w="1106"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587"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7.3</w:t>
                  </w:r>
                </w:p>
              </w:tc>
              <w:tc>
                <w:tcPr>
                  <w:tcW w:w="2580"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可曲挠橡胶接头</w:t>
                  </w:r>
                </w:p>
              </w:tc>
              <w:tc>
                <w:tcPr>
                  <w:tcW w:w="2415"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DN150，PN1.0</w:t>
                  </w:r>
                </w:p>
              </w:tc>
              <w:tc>
                <w:tcPr>
                  <w:tcW w:w="1238"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个</w:t>
                  </w:r>
                </w:p>
              </w:tc>
              <w:tc>
                <w:tcPr>
                  <w:tcW w:w="791"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2</w:t>
                  </w:r>
                </w:p>
              </w:tc>
              <w:tc>
                <w:tcPr>
                  <w:tcW w:w="1106"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587"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7.4</w:t>
                  </w:r>
                </w:p>
              </w:tc>
              <w:tc>
                <w:tcPr>
                  <w:tcW w:w="2580"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对夹式蝶形止回阀</w:t>
                  </w:r>
                </w:p>
              </w:tc>
              <w:tc>
                <w:tcPr>
                  <w:tcW w:w="2415"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DN150，PN1.0</w:t>
                  </w:r>
                </w:p>
              </w:tc>
              <w:tc>
                <w:tcPr>
                  <w:tcW w:w="1238"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个</w:t>
                  </w:r>
                </w:p>
              </w:tc>
              <w:tc>
                <w:tcPr>
                  <w:tcW w:w="791"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2</w:t>
                  </w:r>
                </w:p>
              </w:tc>
              <w:tc>
                <w:tcPr>
                  <w:tcW w:w="1106"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52" w:hRule="atLeast"/>
                <w:jc w:val="center"/>
              </w:trPr>
              <w:tc>
                <w:tcPr>
                  <w:tcW w:w="587"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7.5</w:t>
                  </w:r>
                </w:p>
              </w:tc>
              <w:tc>
                <w:tcPr>
                  <w:tcW w:w="2580"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电动对夹式开关型中线蝶</w:t>
                  </w:r>
                </w:p>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阀</w:t>
                  </w:r>
                </w:p>
              </w:tc>
              <w:tc>
                <w:tcPr>
                  <w:tcW w:w="2415"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DN200,开关型,220V</w:t>
                  </w:r>
                </w:p>
              </w:tc>
              <w:tc>
                <w:tcPr>
                  <w:tcW w:w="1238"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个</w:t>
                  </w:r>
                </w:p>
              </w:tc>
              <w:tc>
                <w:tcPr>
                  <w:tcW w:w="791"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1</w:t>
                  </w:r>
                </w:p>
              </w:tc>
              <w:tc>
                <w:tcPr>
                  <w:tcW w:w="1106"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587"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7.6</w:t>
                  </w:r>
                </w:p>
              </w:tc>
              <w:tc>
                <w:tcPr>
                  <w:tcW w:w="2580"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可曲挠橡胶接头</w:t>
                  </w:r>
                </w:p>
              </w:tc>
              <w:tc>
                <w:tcPr>
                  <w:tcW w:w="2415"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DN200，PN1.0</w:t>
                  </w:r>
                </w:p>
              </w:tc>
              <w:tc>
                <w:tcPr>
                  <w:tcW w:w="1238"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个</w:t>
                  </w:r>
                </w:p>
              </w:tc>
              <w:tc>
                <w:tcPr>
                  <w:tcW w:w="791"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1</w:t>
                  </w:r>
                </w:p>
              </w:tc>
              <w:tc>
                <w:tcPr>
                  <w:tcW w:w="1106"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587" w:type="dxa"/>
                  <w:tcBorders>
                    <w:tl2br w:val="nil"/>
                    <w:tr2bl w:val="nil"/>
                  </w:tcBorders>
                  <w:shd w:val="clear" w:color="auto" w:fill="C0C0C0"/>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8</w:t>
                  </w:r>
                </w:p>
              </w:tc>
              <w:tc>
                <w:tcPr>
                  <w:tcW w:w="2580" w:type="dxa"/>
                  <w:tcBorders>
                    <w:tl2br w:val="nil"/>
                    <w:tr2bl w:val="nil"/>
                  </w:tcBorders>
                  <w:shd w:val="clear" w:color="auto" w:fill="C0C0C0"/>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水质自动监测系统</w:t>
                  </w:r>
                </w:p>
              </w:tc>
              <w:tc>
                <w:tcPr>
                  <w:tcW w:w="2415" w:type="dxa"/>
                  <w:tcBorders>
                    <w:tl2br w:val="nil"/>
                    <w:tr2bl w:val="nil"/>
                  </w:tcBorders>
                  <w:shd w:val="clear" w:color="auto" w:fill="C0C0C0"/>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p>
              </w:tc>
              <w:tc>
                <w:tcPr>
                  <w:tcW w:w="1238" w:type="dxa"/>
                  <w:tcBorders>
                    <w:tl2br w:val="nil"/>
                    <w:tr2bl w:val="nil"/>
                  </w:tcBorders>
                  <w:shd w:val="clear" w:color="auto" w:fill="C0C0C0"/>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p>
              </w:tc>
              <w:tc>
                <w:tcPr>
                  <w:tcW w:w="791" w:type="dxa"/>
                  <w:tcBorders>
                    <w:tl2br w:val="nil"/>
                    <w:tr2bl w:val="nil"/>
                  </w:tcBorders>
                  <w:shd w:val="clear" w:color="auto" w:fill="C0C0C0"/>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p>
              </w:tc>
              <w:tc>
                <w:tcPr>
                  <w:tcW w:w="1106" w:type="dxa"/>
                  <w:tcBorders>
                    <w:tl2br w:val="nil"/>
                    <w:tr2bl w:val="nil"/>
                  </w:tcBorders>
                  <w:shd w:val="clear" w:color="auto" w:fill="C0C0C0"/>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587"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8.1</w:t>
                  </w:r>
                </w:p>
              </w:tc>
              <w:tc>
                <w:tcPr>
                  <w:tcW w:w="2580"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出水浊度仪</w:t>
                  </w:r>
                </w:p>
              </w:tc>
              <w:tc>
                <w:tcPr>
                  <w:tcW w:w="2415"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0-100NTU</w:t>
                  </w:r>
                </w:p>
              </w:tc>
              <w:tc>
                <w:tcPr>
                  <w:tcW w:w="1238"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套</w:t>
                  </w:r>
                </w:p>
              </w:tc>
              <w:tc>
                <w:tcPr>
                  <w:tcW w:w="791"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1</w:t>
                  </w:r>
                </w:p>
              </w:tc>
              <w:tc>
                <w:tcPr>
                  <w:tcW w:w="1106"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587"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8.2</w:t>
                  </w:r>
                </w:p>
              </w:tc>
              <w:tc>
                <w:tcPr>
                  <w:tcW w:w="2580"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液位传感器</w:t>
                  </w:r>
                </w:p>
              </w:tc>
              <w:tc>
                <w:tcPr>
                  <w:tcW w:w="2415"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0-5m</w:t>
                  </w:r>
                </w:p>
              </w:tc>
              <w:tc>
                <w:tcPr>
                  <w:tcW w:w="1238"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套</w:t>
                  </w:r>
                </w:p>
              </w:tc>
              <w:tc>
                <w:tcPr>
                  <w:tcW w:w="791"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3</w:t>
                  </w:r>
                </w:p>
              </w:tc>
              <w:tc>
                <w:tcPr>
                  <w:tcW w:w="1106"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587"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8.3</w:t>
                  </w:r>
                </w:p>
              </w:tc>
              <w:tc>
                <w:tcPr>
                  <w:tcW w:w="2580"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水质监测柜</w:t>
                  </w:r>
                </w:p>
              </w:tc>
              <w:tc>
                <w:tcPr>
                  <w:tcW w:w="2415"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SZJC-GS</w:t>
                  </w:r>
                </w:p>
              </w:tc>
              <w:tc>
                <w:tcPr>
                  <w:tcW w:w="1238"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套</w:t>
                  </w:r>
                </w:p>
              </w:tc>
              <w:tc>
                <w:tcPr>
                  <w:tcW w:w="791"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1</w:t>
                  </w:r>
                </w:p>
              </w:tc>
              <w:tc>
                <w:tcPr>
                  <w:tcW w:w="1106"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587" w:type="dxa"/>
                  <w:tcBorders>
                    <w:tl2br w:val="nil"/>
                    <w:tr2bl w:val="nil"/>
                  </w:tcBorders>
                  <w:shd w:val="clear" w:color="auto" w:fill="C0C0C0"/>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9</w:t>
                  </w:r>
                </w:p>
              </w:tc>
              <w:tc>
                <w:tcPr>
                  <w:tcW w:w="2580" w:type="dxa"/>
                  <w:tcBorders>
                    <w:tl2br w:val="nil"/>
                    <w:tr2bl w:val="nil"/>
                  </w:tcBorders>
                  <w:shd w:val="clear" w:color="auto" w:fill="C0C0C0"/>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控制系统</w:t>
                  </w:r>
                </w:p>
              </w:tc>
              <w:tc>
                <w:tcPr>
                  <w:tcW w:w="2415" w:type="dxa"/>
                  <w:tcBorders>
                    <w:tl2br w:val="nil"/>
                    <w:tr2bl w:val="nil"/>
                  </w:tcBorders>
                  <w:shd w:val="clear" w:color="auto" w:fill="C0C0C0"/>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p>
              </w:tc>
              <w:tc>
                <w:tcPr>
                  <w:tcW w:w="1238" w:type="dxa"/>
                  <w:tcBorders>
                    <w:tl2br w:val="nil"/>
                    <w:tr2bl w:val="nil"/>
                  </w:tcBorders>
                  <w:shd w:val="clear" w:color="auto" w:fill="C0C0C0"/>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p>
              </w:tc>
              <w:tc>
                <w:tcPr>
                  <w:tcW w:w="791" w:type="dxa"/>
                  <w:tcBorders>
                    <w:tl2br w:val="nil"/>
                    <w:tr2bl w:val="nil"/>
                  </w:tcBorders>
                  <w:shd w:val="clear" w:color="auto" w:fill="C0C0C0"/>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p>
              </w:tc>
              <w:tc>
                <w:tcPr>
                  <w:tcW w:w="1106" w:type="dxa"/>
                  <w:tcBorders>
                    <w:tl2br w:val="nil"/>
                    <w:tr2bl w:val="nil"/>
                  </w:tcBorders>
                  <w:shd w:val="clear" w:color="auto" w:fill="C0C0C0"/>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587"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9.1</w:t>
                  </w:r>
                </w:p>
              </w:tc>
              <w:tc>
                <w:tcPr>
                  <w:tcW w:w="2580"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主站控制柜</w:t>
                  </w:r>
                </w:p>
              </w:tc>
              <w:tc>
                <w:tcPr>
                  <w:tcW w:w="2415"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lang w:val="en-US" w:eastAsia="zh-CN"/>
                    </w:rPr>
                  </w:pPr>
                  <w:r>
                    <w:rPr>
                      <w:rFonts w:hint="eastAsia" w:ascii="Times New Roman" w:hAnsi="Times New Roman" w:eastAsia="宋体" w:cs="Times New Roman"/>
                      <w:sz w:val="21"/>
                    </w:rPr>
                    <w:t>SK-ZK-1400E</w:t>
                  </w:r>
                </w:p>
              </w:tc>
              <w:tc>
                <w:tcPr>
                  <w:tcW w:w="1238"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套</w:t>
                  </w:r>
                </w:p>
              </w:tc>
              <w:tc>
                <w:tcPr>
                  <w:tcW w:w="791"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1</w:t>
                  </w:r>
                </w:p>
              </w:tc>
              <w:tc>
                <w:tcPr>
                  <w:tcW w:w="1106"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587"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9.2</w:t>
                  </w:r>
                </w:p>
              </w:tc>
              <w:tc>
                <w:tcPr>
                  <w:tcW w:w="2580"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PAC 控制柜</w:t>
                  </w:r>
                </w:p>
              </w:tc>
              <w:tc>
                <w:tcPr>
                  <w:tcW w:w="2415"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lang w:val="en-US" w:eastAsia="zh-CN"/>
                    </w:rPr>
                  </w:pPr>
                  <w:r>
                    <w:rPr>
                      <w:rFonts w:hint="eastAsia" w:ascii="Times New Roman" w:hAnsi="Times New Roman" w:eastAsia="宋体" w:cs="Times New Roman"/>
                      <w:sz w:val="21"/>
                    </w:rPr>
                    <w:t>SK-PAC-1400E</w:t>
                  </w:r>
                </w:p>
              </w:tc>
              <w:tc>
                <w:tcPr>
                  <w:tcW w:w="1238"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套</w:t>
                  </w:r>
                </w:p>
              </w:tc>
              <w:tc>
                <w:tcPr>
                  <w:tcW w:w="791"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1</w:t>
                  </w:r>
                </w:p>
              </w:tc>
              <w:tc>
                <w:tcPr>
                  <w:tcW w:w="1106"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587"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9.3</w:t>
                  </w:r>
                </w:p>
              </w:tc>
              <w:tc>
                <w:tcPr>
                  <w:tcW w:w="2580"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PAM 控制柜</w:t>
                  </w:r>
                </w:p>
              </w:tc>
              <w:tc>
                <w:tcPr>
                  <w:tcW w:w="2415"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lang w:val="en-US" w:eastAsia="zh-CN"/>
                    </w:rPr>
                  </w:pPr>
                  <w:r>
                    <w:rPr>
                      <w:rFonts w:hint="eastAsia" w:ascii="Times New Roman" w:hAnsi="Times New Roman" w:eastAsia="宋体" w:cs="Times New Roman"/>
                      <w:sz w:val="21"/>
                    </w:rPr>
                    <w:t>SK-PAM-1400E</w:t>
                  </w:r>
                </w:p>
              </w:tc>
              <w:tc>
                <w:tcPr>
                  <w:tcW w:w="1238"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套</w:t>
                  </w:r>
                </w:p>
              </w:tc>
              <w:tc>
                <w:tcPr>
                  <w:tcW w:w="791"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1</w:t>
                  </w:r>
                </w:p>
              </w:tc>
              <w:tc>
                <w:tcPr>
                  <w:tcW w:w="1106"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587"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9.4</w:t>
                  </w:r>
                </w:p>
              </w:tc>
              <w:tc>
                <w:tcPr>
                  <w:tcW w:w="2580"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消毒控制柜</w:t>
                  </w:r>
                </w:p>
              </w:tc>
              <w:tc>
                <w:tcPr>
                  <w:tcW w:w="2415"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lang w:val="en-US" w:eastAsia="zh-CN"/>
                    </w:rPr>
                  </w:pPr>
                  <w:r>
                    <w:rPr>
                      <w:rFonts w:hint="eastAsia" w:ascii="Times New Roman" w:hAnsi="Times New Roman" w:eastAsia="宋体" w:cs="Times New Roman"/>
                      <w:sz w:val="21"/>
                    </w:rPr>
                    <w:t>SK-XD-1400E</w:t>
                  </w:r>
                </w:p>
              </w:tc>
              <w:tc>
                <w:tcPr>
                  <w:tcW w:w="1238"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套</w:t>
                  </w:r>
                </w:p>
              </w:tc>
              <w:tc>
                <w:tcPr>
                  <w:tcW w:w="791"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1</w:t>
                  </w:r>
                </w:p>
              </w:tc>
              <w:tc>
                <w:tcPr>
                  <w:tcW w:w="1106"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587"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9.5</w:t>
                  </w:r>
                </w:p>
              </w:tc>
              <w:tc>
                <w:tcPr>
                  <w:tcW w:w="2580"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反冲洗控制柜</w:t>
                  </w:r>
                </w:p>
              </w:tc>
              <w:tc>
                <w:tcPr>
                  <w:tcW w:w="2415"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lang w:val="en-US" w:eastAsia="zh-CN"/>
                    </w:rPr>
                  </w:pPr>
                  <w:r>
                    <w:rPr>
                      <w:rFonts w:hint="eastAsia" w:ascii="Times New Roman" w:hAnsi="Times New Roman" w:eastAsia="宋体" w:cs="Times New Roman"/>
                      <w:sz w:val="21"/>
                    </w:rPr>
                    <w:t>SK-FXB-E</w:t>
                  </w:r>
                </w:p>
              </w:tc>
              <w:tc>
                <w:tcPr>
                  <w:tcW w:w="1238"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套</w:t>
                  </w:r>
                </w:p>
              </w:tc>
              <w:tc>
                <w:tcPr>
                  <w:tcW w:w="791"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1</w:t>
                  </w:r>
                </w:p>
              </w:tc>
              <w:tc>
                <w:tcPr>
                  <w:tcW w:w="1106"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587" w:type="dxa"/>
                  <w:tcBorders>
                    <w:tl2br w:val="nil"/>
                    <w:tr2bl w:val="nil"/>
                  </w:tcBorders>
                  <w:shd w:val="clear" w:color="auto" w:fill="C0C0C0"/>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10</w:t>
                  </w:r>
                </w:p>
              </w:tc>
              <w:tc>
                <w:tcPr>
                  <w:tcW w:w="2580" w:type="dxa"/>
                  <w:tcBorders>
                    <w:tl2br w:val="nil"/>
                    <w:tr2bl w:val="nil"/>
                  </w:tcBorders>
                  <w:shd w:val="clear" w:color="auto" w:fill="C0C0C0"/>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中央控制系统</w:t>
                  </w:r>
                </w:p>
              </w:tc>
              <w:tc>
                <w:tcPr>
                  <w:tcW w:w="2415" w:type="dxa"/>
                  <w:tcBorders>
                    <w:tl2br w:val="nil"/>
                    <w:tr2bl w:val="nil"/>
                  </w:tcBorders>
                  <w:shd w:val="clear" w:color="auto" w:fill="C0C0C0"/>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p>
              </w:tc>
              <w:tc>
                <w:tcPr>
                  <w:tcW w:w="1238" w:type="dxa"/>
                  <w:tcBorders>
                    <w:tl2br w:val="nil"/>
                    <w:tr2bl w:val="nil"/>
                  </w:tcBorders>
                  <w:shd w:val="clear" w:color="auto" w:fill="C0C0C0"/>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p>
              </w:tc>
              <w:tc>
                <w:tcPr>
                  <w:tcW w:w="791" w:type="dxa"/>
                  <w:tcBorders>
                    <w:tl2br w:val="nil"/>
                    <w:tr2bl w:val="nil"/>
                  </w:tcBorders>
                  <w:shd w:val="clear" w:color="auto" w:fill="C0C0C0"/>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p>
              </w:tc>
              <w:tc>
                <w:tcPr>
                  <w:tcW w:w="1106" w:type="dxa"/>
                  <w:tcBorders>
                    <w:tl2br w:val="nil"/>
                    <w:tr2bl w:val="nil"/>
                  </w:tcBorders>
                  <w:shd w:val="clear" w:color="auto" w:fill="C0C0C0"/>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587"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10.1</w:t>
                  </w:r>
                </w:p>
              </w:tc>
              <w:tc>
                <w:tcPr>
                  <w:tcW w:w="2580"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操作台</w:t>
                  </w:r>
                </w:p>
              </w:tc>
              <w:tc>
                <w:tcPr>
                  <w:tcW w:w="2415"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三联</w:t>
                  </w:r>
                </w:p>
              </w:tc>
              <w:tc>
                <w:tcPr>
                  <w:tcW w:w="1238"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台</w:t>
                  </w:r>
                </w:p>
              </w:tc>
              <w:tc>
                <w:tcPr>
                  <w:tcW w:w="791"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1</w:t>
                  </w:r>
                </w:p>
              </w:tc>
              <w:tc>
                <w:tcPr>
                  <w:tcW w:w="1106"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587"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10.2</w:t>
                  </w:r>
                </w:p>
              </w:tc>
              <w:tc>
                <w:tcPr>
                  <w:tcW w:w="2580"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工控机</w:t>
                  </w:r>
                </w:p>
              </w:tc>
              <w:tc>
                <w:tcPr>
                  <w:tcW w:w="2415"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IPC-820</w:t>
                  </w:r>
                </w:p>
              </w:tc>
              <w:tc>
                <w:tcPr>
                  <w:tcW w:w="1238"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台</w:t>
                  </w:r>
                </w:p>
              </w:tc>
              <w:tc>
                <w:tcPr>
                  <w:tcW w:w="791"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1</w:t>
                  </w:r>
                </w:p>
              </w:tc>
              <w:tc>
                <w:tcPr>
                  <w:tcW w:w="1106"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52" w:hRule="atLeast"/>
                <w:jc w:val="center"/>
              </w:trPr>
              <w:tc>
                <w:tcPr>
                  <w:tcW w:w="587"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10.3</w:t>
                  </w:r>
                </w:p>
              </w:tc>
              <w:tc>
                <w:tcPr>
                  <w:tcW w:w="2580"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物联网关</w:t>
                  </w:r>
                </w:p>
              </w:tc>
              <w:tc>
                <w:tcPr>
                  <w:tcW w:w="2415"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FBox-4G-Lit,含 2 年流量、组态开发费用</w:t>
                  </w:r>
                </w:p>
              </w:tc>
              <w:tc>
                <w:tcPr>
                  <w:tcW w:w="1238"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套</w:t>
                  </w:r>
                </w:p>
              </w:tc>
              <w:tc>
                <w:tcPr>
                  <w:tcW w:w="791"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1</w:t>
                  </w:r>
                </w:p>
              </w:tc>
              <w:tc>
                <w:tcPr>
                  <w:tcW w:w="1106"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587"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10.4</w:t>
                  </w:r>
                </w:p>
              </w:tc>
              <w:tc>
                <w:tcPr>
                  <w:tcW w:w="2580"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组态软件</w:t>
                  </w:r>
                </w:p>
              </w:tc>
              <w:tc>
                <w:tcPr>
                  <w:tcW w:w="2415"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组态王 V6.55，512 点</w:t>
                  </w:r>
                </w:p>
              </w:tc>
              <w:tc>
                <w:tcPr>
                  <w:tcW w:w="1238"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套</w:t>
                  </w:r>
                </w:p>
              </w:tc>
              <w:tc>
                <w:tcPr>
                  <w:tcW w:w="791"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1</w:t>
                  </w:r>
                </w:p>
              </w:tc>
              <w:tc>
                <w:tcPr>
                  <w:tcW w:w="1106"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587"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10.5</w:t>
                  </w:r>
                </w:p>
              </w:tc>
              <w:tc>
                <w:tcPr>
                  <w:tcW w:w="2580"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水厂数据采集与监控软件</w:t>
                  </w:r>
                </w:p>
              </w:tc>
              <w:tc>
                <w:tcPr>
                  <w:tcW w:w="2415"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eastAsia" w:ascii="Times New Roman" w:hAnsi="Times New Roman" w:eastAsia="宋体" w:cs="Times New Roman"/>
                      <w:sz w:val="21"/>
                      <w:lang w:val="en-US" w:eastAsia="zh-CN"/>
                    </w:rPr>
                  </w:pPr>
                  <w:r>
                    <w:rPr>
                      <w:rFonts w:hint="default" w:ascii="Times New Roman" w:hAnsi="Times New Roman" w:eastAsia="宋体" w:cs="Times New Roman"/>
                      <w:sz w:val="21"/>
                    </w:rPr>
                    <w:t>供水自动化系统数据采</w:t>
                  </w:r>
                  <w:r>
                    <w:rPr>
                      <w:rFonts w:hint="eastAsia" w:ascii="Times New Roman" w:hAnsi="Times New Roman" w:eastAsia="宋体" w:cs="Times New Roman"/>
                      <w:sz w:val="21"/>
                      <w:lang w:val="en-US" w:eastAsia="zh-CN"/>
                    </w:rPr>
                    <w:t>集</w:t>
                  </w:r>
                </w:p>
              </w:tc>
              <w:tc>
                <w:tcPr>
                  <w:tcW w:w="1238"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套</w:t>
                  </w:r>
                </w:p>
              </w:tc>
              <w:tc>
                <w:tcPr>
                  <w:tcW w:w="791"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1</w:t>
                  </w:r>
                </w:p>
              </w:tc>
              <w:tc>
                <w:tcPr>
                  <w:tcW w:w="1106" w:type="dxa"/>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宋体" w:cs="Times New Roman"/>
                      <w:sz w:val="21"/>
                    </w:rPr>
                  </w:pPr>
                </w:p>
              </w:tc>
            </w:tr>
          </w:tbl>
          <w:p>
            <w:pPr>
              <w:pStyle w:val="5"/>
              <w:jc w:val="both"/>
              <w:rPr>
                <w:rFonts w:hint="eastAsia"/>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73" w:hRule="atLeast"/>
          <w:jc w:val="center"/>
        </w:trPr>
        <w:tc>
          <w:tcPr>
            <w:tcW w:w="9028" w:type="dxa"/>
            <w:noWrap w:val="0"/>
            <w:vAlign w:val="top"/>
          </w:tcPr>
          <w:p>
            <w:pPr>
              <w:keepNext w:val="0"/>
              <w:keepLines w:val="0"/>
              <w:pageBreakBefore w:val="0"/>
              <w:widowControl/>
              <w:kinsoku/>
              <w:wordWrap/>
              <w:overflowPunct/>
              <w:topLinePunct w:val="0"/>
              <w:autoSpaceDE/>
              <w:autoSpaceDN/>
              <w:bidi w:val="0"/>
              <w:adjustRightInd w:val="0"/>
              <w:snapToGrid w:val="0"/>
              <w:spacing w:before="181" w:beforeLines="50" w:after="0" w:afterLines="0" w:line="360" w:lineRule="auto"/>
              <w:jc w:val="both"/>
              <w:textAlignment w:val="auto"/>
              <w:rPr>
                <w:rFonts w:hint="default" w:ascii="Times New Roman" w:hAnsi="Times New Roman" w:eastAsia="楷体" w:cs="Times New Roman"/>
                <w:b/>
                <w:bCs/>
                <w:color w:val="000000"/>
                <w:sz w:val="28"/>
                <w:szCs w:val="28"/>
              </w:rPr>
            </w:pPr>
            <w:r>
              <w:rPr>
                <w:rFonts w:hint="default" w:ascii="Times New Roman" w:hAnsi="Times New Roman" w:eastAsia="楷体" w:cs="Times New Roman"/>
                <w:b/>
                <w:bCs/>
                <w:color w:val="000000"/>
                <w:sz w:val="28"/>
                <w:szCs w:val="28"/>
                <w:lang w:val="en-US" w:eastAsia="zh-CN"/>
              </w:rPr>
              <w:t xml:space="preserve">2.5 </w:t>
            </w:r>
            <w:r>
              <w:rPr>
                <w:rFonts w:hint="default" w:ascii="Times New Roman" w:hAnsi="Times New Roman" w:eastAsia="楷体" w:cs="Times New Roman"/>
                <w:b/>
                <w:bCs/>
                <w:color w:val="000000"/>
                <w:sz w:val="28"/>
                <w:szCs w:val="28"/>
              </w:rPr>
              <w:t>主要工艺流程及产物环节</w:t>
            </w:r>
          </w:p>
          <w:p>
            <w:pPr>
              <w:spacing w:beforeLines="0" w:afterLines="0"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根据调查，本项目水厂采用“絮凝→沉淀→过滤→消毒”工艺，与环评阶段设计工艺一致，工艺流程及产污环节见图2-1：</w:t>
            </w:r>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sz w:val="24"/>
                <w:szCs w:val="24"/>
              </w:rPr>
            </w:pPr>
            <w:r>
              <w:rPr>
                <w:rFonts w:hint="eastAsia" w:ascii="宋体" w:hAnsi="宋体" w:eastAsia="宋体"/>
                <w:bCs/>
                <w:szCs w:val="21"/>
                <w:lang w:eastAsia="zh-CN"/>
              </w:rPr>
              <w:drawing>
                <wp:inline distT="0" distB="0" distL="114300" distR="114300">
                  <wp:extent cx="5270500" cy="2927350"/>
                  <wp:effectExtent l="0" t="0" r="6350" b="6350"/>
                  <wp:docPr id="2" name="图片 1" descr="2a4e2e4847d134e91adf97774668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2a4e2e4847d134e91adf97774668207"/>
                          <pic:cNvPicPr>
                            <a:picLocks noChangeAspect="1"/>
                          </pic:cNvPicPr>
                        </pic:nvPicPr>
                        <pic:blipFill>
                          <a:blip r:embed="rId7"/>
                          <a:stretch>
                            <a:fillRect/>
                          </a:stretch>
                        </pic:blipFill>
                        <pic:spPr>
                          <a:xfrm>
                            <a:off x="0" y="0"/>
                            <a:ext cx="5270500" cy="2927350"/>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图2</w:t>
            </w:r>
            <w:r>
              <w:rPr>
                <w:rFonts w:hint="eastAsia" w:ascii="Times New Roman" w:hAnsi="Times New Roman" w:eastAsia="宋体" w:cs="Times New Roman"/>
                <w:b/>
                <w:bCs/>
                <w:sz w:val="21"/>
                <w:szCs w:val="21"/>
                <w:lang w:val="en-US" w:eastAsia="zh-CN"/>
              </w:rPr>
              <w:t>-1</w:t>
            </w:r>
            <w:r>
              <w:rPr>
                <w:rFonts w:hint="default" w:ascii="Times New Roman" w:hAnsi="Times New Roman" w:eastAsia="宋体" w:cs="Times New Roman"/>
                <w:b/>
                <w:bCs/>
                <w:sz w:val="21"/>
                <w:szCs w:val="21"/>
              </w:rPr>
              <w:t xml:space="preserve">  净水厂工艺流程及产污环节示意图</w:t>
            </w:r>
          </w:p>
          <w:p>
            <w:pPr>
              <w:keepNext w:val="0"/>
              <w:keepLines w:val="0"/>
              <w:pageBreakBefore w:val="0"/>
              <w:widowControl/>
              <w:kinsoku/>
              <w:wordWrap/>
              <w:overflowPunct/>
              <w:topLinePunct w:val="0"/>
              <w:autoSpaceDE/>
              <w:autoSpaceDN/>
              <w:bidi w:val="0"/>
              <w:adjustRightInd w:val="0"/>
              <w:snapToGrid w:val="0"/>
              <w:spacing w:after="0" w:line="360" w:lineRule="auto"/>
              <w:ind w:firstLine="482" w:firstLineChars="200"/>
              <w:jc w:val="both"/>
              <w:textAlignment w:val="auto"/>
              <w:rPr>
                <w:rFonts w:hint="default" w:ascii="Times New Roman" w:hAnsi="Times New Roman" w:eastAsia="宋体" w:cs="Times New Roman"/>
                <w:sz w:val="24"/>
                <w:szCs w:val="24"/>
              </w:rPr>
            </w:pPr>
            <w:r>
              <w:rPr>
                <w:rFonts w:hint="eastAsia" w:ascii="Times New Roman" w:hAnsi="Times New Roman" w:eastAsia="宋体" w:cs="Times New Roman"/>
                <w:b/>
                <w:bCs/>
                <w:sz w:val="24"/>
                <w:szCs w:val="24"/>
                <w:lang w:val="en-US" w:eastAsia="zh-CN"/>
              </w:rPr>
              <w:t>水处理工艺简述</w:t>
            </w:r>
            <w:r>
              <w:rPr>
                <w:rFonts w:hint="default" w:ascii="Times New Roman" w:hAnsi="Times New Roman" w:eastAsia="宋体" w:cs="Times New Roman"/>
                <w:b/>
                <w:bCs/>
                <w:sz w:val="24"/>
                <w:szCs w:val="24"/>
              </w:rPr>
              <w:t>：</w:t>
            </w:r>
          </w:p>
          <w:p>
            <w:pPr>
              <w:keepNext w:val="0"/>
              <w:keepLines w:val="0"/>
              <w:pageBreakBefore w:val="0"/>
              <w:widowControl/>
              <w:kinsoku/>
              <w:wordWrap/>
              <w:overflowPunct/>
              <w:topLinePunct w:val="0"/>
              <w:autoSpaceDE/>
              <w:autoSpaceDN/>
              <w:bidi w:val="0"/>
              <w:adjustRightInd w:val="0"/>
              <w:snapToGrid w:val="0"/>
              <w:spacing w:after="0" w:afterLines="0" w:line="360" w:lineRule="auto"/>
              <w:ind w:firstLine="480" w:firstLineChars="200"/>
              <w:jc w:val="both"/>
              <w:textAlignment w:val="auto"/>
              <w:rPr>
                <w:rFonts w:hint="eastAsia"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原水由提配水管道输送（压力0.1~0.2MPa），流经第一道管道混合器时与碳酸钠混合，然后进入第二道管道混合器与PAC混合,碳酸钠及混凝剂（PAC）在加药装置内按比例配制完成后，由计量泵送至管道式混合器内，与提升后的原水相混合，混合器通过自身结构的剪切、搅拌作用，使两者混合均匀。</w:t>
            </w:r>
          </w:p>
          <w:p>
            <w:pPr>
              <w:keepNext w:val="0"/>
              <w:keepLines w:val="0"/>
              <w:pageBreakBefore w:val="0"/>
              <w:widowControl/>
              <w:kinsoku/>
              <w:wordWrap/>
              <w:overflowPunct/>
              <w:topLinePunct w:val="0"/>
              <w:autoSpaceDE/>
              <w:autoSpaceDN/>
              <w:bidi w:val="0"/>
              <w:adjustRightInd w:val="0"/>
              <w:snapToGrid w:val="0"/>
              <w:spacing w:after="0" w:afterLines="0" w:line="360" w:lineRule="auto"/>
              <w:ind w:firstLine="480" w:firstLineChars="200"/>
              <w:jc w:val="both"/>
              <w:textAlignment w:val="auto"/>
              <w:rPr>
                <w:rFonts w:hint="eastAsia"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与混凝剂混合后的原水进入集成净水设备，首先进入高密度反应室，旋流布水；然后缓慢进入高浓度絮凝区，进行彻底的混凝反应,增大絮体；随后进入斜管沉淀区，斜管底部设积泥斗，在斜管的作用下，水中的颗粒快速沉降；上层清水从分离区流入集水槽，并通过出水管进入过滤区，下层的沉泥在设备底部浓缩，定时排放；水流经过石英砂过滤层，通过与滤料的充分接触过滤，进一步去除沉淀区中未能沉淀的小颗粒杂质，完成净化。</w:t>
            </w:r>
          </w:p>
          <w:p>
            <w:pPr>
              <w:keepNext w:val="0"/>
              <w:keepLines w:val="0"/>
              <w:pageBreakBefore w:val="0"/>
              <w:widowControl/>
              <w:kinsoku/>
              <w:wordWrap/>
              <w:overflowPunct/>
              <w:topLinePunct w:val="0"/>
              <w:autoSpaceDE/>
              <w:autoSpaceDN/>
              <w:bidi w:val="0"/>
              <w:adjustRightInd w:val="0"/>
              <w:snapToGrid w:val="0"/>
              <w:spacing w:after="0" w:afterLines="0" w:line="360" w:lineRule="auto"/>
              <w:ind w:firstLine="480" w:firstLineChars="200"/>
              <w:jc w:val="both"/>
              <w:textAlignment w:val="auto"/>
              <w:rPr>
                <w:rFonts w:hint="eastAsia"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经净化后的清水自流进入清水池，在清水池内投加次氯酸钠消毒剂，即可达到生活饮用水的水质标准。</w:t>
            </w:r>
          </w:p>
          <w:p>
            <w:pPr>
              <w:keepNext w:val="0"/>
              <w:keepLines w:val="0"/>
              <w:pageBreakBefore w:val="0"/>
              <w:widowControl/>
              <w:kinsoku/>
              <w:wordWrap/>
              <w:overflowPunct/>
              <w:topLinePunct w:val="0"/>
              <w:autoSpaceDE/>
              <w:autoSpaceDN/>
              <w:bidi w:val="0"/>
              <w:adjustRightInd w:val="0"/>
              <w:snapToGrid w:val="0"/>
              <w:spacing w:after="0" w:afterLines="0" w:line="360" w:lineRule="auto"/>
              <w:ind w:firstLine="480" w:firstLineChars="200"/>
              <w:jc w:val="both"/>
              <w:textAlignment w:val="auto"/>
              <w:rPr>
                <w:rFonts w:hint="eastAsia"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排泥：当净水设备运行一定时间后，电动阀通过中央控制柜所给的信号，对沉入集泥区的絮体污泥进行自动排泥；</w:t>
            </w:r>
          </w:p>
          <w:p>
            <w:pPr>
              <w:keepNext w:val="0"/>
              <w:keepLines w:val="0"/>
              <w:pageBreakBefore w:val="0"/>
              <w:widowControl/>
              <w:kinsoku/>
              <w:wordWrap/>
              <w:overflowPunct/>
              <w:topLinePunct w:val="0"/>
              <w:autoSpaceDE/>
              <w:autoSpaceDN/>
              <w:bidi w:val="0"/>
              <w:adjustRightInd w:val="0"/>
              <w:snapToGrid w:val="0"/>
              <w:spacing w:after="0" w:afterLines="0" w:line="360" w:lineRule="auto"/>
              <w:ind w:firstLine="480" w:firstLineChars="200"/>
              <w:jc w:val="both"/>
              <w:textAlignment w:val="auto"/>
              <w:rPr>
                <w:rFonts w:hint="eastAsia"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反冲洗：污水经过过滤层过滤一定时间后，过滤层的阻力逐渐增大，当达到反洗设定时间时，通过信号自动启动反洗系统，对过滤层进行反冲洗，反洗历时3-5分钟后，自动停止反冲洗，反洗污水经排污沟排放。</w:t>
            </w:r>
          </w:p>
          <w:p>
            <w:pPr>
              <w:keepNext w:val="0"/>
              <w:keepLines w:val="0"/>
              <w:pageBreakBefore w:val="0"/>
              <w:widowControl/>
              <w:kinsoku/>
              <w:wordWrap/>
              <w:overflowPunct/>
              <w:topLinePunct w:val="0"/>
              <w:autoSpaceDE/>
              <w:autoSpaceDN/>
              <w:bidi w:val="0"/>
              <w:adjustRightInd w:val="0"/>
              <w:snapToGrid w:val="0"/>
              <w:spacing w:after="0" w:afterLines="0" w:line="360" w:lineRule="auto"/>
              <w:ind w:firstLine="480" w:firstLineChars="200"/>
              <w:jc w:val="both"/>
              <w:textAlignment w:val="auto"/>
              <w:rPr>
                <w:rFonts w:hint="eastAsia"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当水中含有机物和藻类较多时，采用常规处理工艺出水水质往往不能达标，此时，需投加高锰酸钾和粉末活性炭，保证出水水质。</w:t>
            </w:r>
          </w:p>
          <w:p>
            <w:pPr>
              <w:keepNext w:val="0"/>
              <w:keepLines w:val="0"/>
              <w:pageBreakBefore w:val="0"/>
              <w:widowControl/>
              <w:kinsoku/>
              <w:wordWrap/>
              <w:overflowPunct/>
              <w:topLinePunct w:val="0"/>
              <w:autoSpaceDE/>
              <w:autoSpaceDN/>
              <w:bidi w:val="0"/>
              <w:adjustRightInd w:val="0"/>
              <w:snapToGrid w:val="0"/>
              <w:spacing w:after="0" w:afterLines="0" w:line="360" w:lineRule="auto"/>
              <w:ind w:firstLine="480" w:firstLineChars="200"/>
              <w:jc w:val="both"/>
              <w:textAlignment w:val="auto"/>
              <w:rPr>
                <w:rFonts w:hint="eastAsia"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高锰酸钾氧化可破坏有机胶体表面的保护膜，提高混凝沉淀效果；降解或破坏水中有机物的结构，达到减少或转化污染有机物的目的，有效降低嗅味；同时灭杀大部分的藻类以及部分的细菌，降低藻类和有机物对后续混凝沉淀的干扰，并防止藻类和有机物对后续混凝沉淀的干扰，并防止藻类和有机物对后续混凝沉淀的干扰，并防止藻类在后续处理过程中滋生；还可以在一定程度上去除水中的无机污染物。</w:t>
            </w:r>
          </w:p>
          <w:p>
            <w:pPr>
              <w:keepNext w:val="0"/>
              <w:keepLines w:val="0"/>
              <w:pageBreakBefore w:val="0"/>
              <w:widowControl/>
              <w:kinsoku/>
              <w:wordWrap/>
              <w:overflowPunct/>
              <w:topLinePunct w:val="0"/>
              <w:autoSpaceDE/>
              <w:autoSpaceDN/>
              <w:bidi w:val="0"/>
              <w:adjustRightInd w:val="0"/>
              <w:snapToGrid w:val="0"/>
              <w:spacing w:after="0" w:afterLines="0" w:line="360" w:lineRule="auto"/>
              <w:ind w:firstLine="480" w:firstLineChars="200"/>
              <w:jc w:val="both"/>
              <w:textAlignment w:val="auto"/>
              <w:rPr>
                <w:rFonts w:hint="eastAsia"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粉末活性炭具有吸附性能好、再生能力强、机械强度高、化学稳定性好等特点，是目前水处理中普遍采用的吸附剂。可以吸附氨氮、臭味、腐殖质、苯类、色度等，一般为应急投加。</w:t>
            </w:r>
          </w:p>
          <w:p>
            <w:pPr>
              <w:keepNext w:val="0"/>
              <w:keepLines w:val="0"/>
              <w:pageBreakBefore w:val="0"/>
              <w:widowControl/>
              <w:kinsoku/>
              <w:wordWrap/>
              <w:overflowPunct/>
              <w:topLinePunct w:val="0"/>
              <w:autoSpaceDE/>
              <w:autoSpaceDN/>
              <w:bidi w:val="0"/>
              <w:adjustRightInd w:val="0"/>
              <w:snapToGrid w:val="0"/>
              <w:spacing w:after="0" w:afterLines="0" w:line="360" w:lineRule="auto"/>
              <w:ind w:firstLine="480" w:firstLineChars="200"/>
              <w:jc w:val="both"/>
              <w:textAlignment w:val="auto"/>
              <w:rPr>
                <w:rFonts w:hint="eastAsia"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各处理工序工作原理及具体作用如下</w:t>
            </w:r>
            <w:r>
              <w:rPr>
                <w:rFonts w:hint="eastAsia" w:ascii="Times New Roman" w:hAnsi="Times New Roman" w:eastAsia="宋体" w:cs="Times New Roman"/>
                <w:sz w:val="24"/>
                <w:szCs w:val="24"/>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-3056890</wp:posOffset>
                      </wp:positionH>
                      <wp:positionV relativeFrom="paragraph">
                        <wp:posOffset>2540</wp:posOffset>
                      </wp:positionV>
                      <wp:extent cx="0" cy="567690"/>
                      <wp:effectExtent l="38100" t="0" r="38100" b="3810"/>
                      <wp:wrapNone/>
                      <wp:docPr id="6" name="直接箭头连接符 6"/>
                      <wp:cNvGraphicFramePr/>
                      <a:graphic xmlns:a="http://schemas.openxmlformats.org/drawingml/2006/main">
                        <a:graphicData uri="http://schemas.microsoft.com/office/word/2010/wordprocessingShape">
                          <wps:wsp>
                            <wps:cNvCnPr/>
                            <wps:spPr>
                              <a:xfrm>
                                <a:off x="0" y="0"/>
                                <a:ext cx="0" cy="5676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40.7pt;margin-top:0.2pt;height:44.7pt;width:0pt;z-index:251660288;mso-width-relative:page;mso-height-relative:page;" filled="f" stroked="t" coordsize="21600,21600" o:gfxdata="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A2OHPXAAAACQEAAA8AAAAAAAAAAQAgAAAAIgAAAGRycy9k&#10;b3ducmV2LnhtbFBLAQIUABQAAAAIAIdO4kA8RnH7AwIAAO8DAAAOAAAAAAAAAAEAIAAAACYBAABk&#10;cnMvZTJvRG9jLnhtbFBLBQYAAAAABgAGAFkBAACbBQAAAAA=&#10;">
                      <v:fill on="f" focussize="0,0"/>
                      <v:stroke color="#000000" joinstyle="round" endarrow="block"/>
                      <v:imagedata o:title=""/>
                      <o:lock v:ext="edit" aspectratio="f"/>
                    </v:shape>
                  </w:pict>
                </mc:Fallback>
              </mc:AlternateContent>
            </w:r>
            <w:r>
              <w:rPr>
                <w:rFonts w:hint="eastAsia" w:ascii="Times New Roman" w:hAnsi="Times New Roman" w:eastAsia="宋体" w:cs="Times New Roman"/>
                <w:sz w:val="24"/>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-3168650</wp:posOffset>
                      </wp:positionH>
                      <wp:positionV relativeFrom="paragraph">
                        <wp:posOffset>570230</wp:posOffset>
                      </wp:positionV>
                      <wp:extent cx="304165" cy="8255"/>
                      <wp:effectExtent l="0" t="31750" r="635" b="36195"/>
                      <wp:wrapNone/>
                      <wp:docPr id="5" name="直接箭头连接符 5"/>
                      <wp:cNvGraphicFramePr/>
                      <a:graphic xmlns:a="http://schemas.openxmlformats.org/drawingml/2006/main">
                        <a:graphicData uri="http://schemas.microsoft.com/office/word/2010/wordprocessingShape">
                          <wps:wsp>
                            <wps:cNvCnPr/>
                            <wps:spPr>
                              <a:xfrm>
                                <a:off x="0" y="0"/>
                                <a:ext cx="304165" cy="82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49.5pt;margin-top:44.9pt;height:0.65pt;width:23.95pt;z-index:251659264;mso-width-relative:page;mso-height-relative:page;" filled="f" stroked="t" coordsize="21600,21600" o:gfxdata="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e9tqU2wAAAAsBAAAPAAAAAAAAAAEAIAAAACIA&#10;AABkcnMvZG93bnJldi54bWxQSwECFAAUAAAACACHTuJAbyRVqwYCAADyAwAADgAAAAAAAAABACAA&#10;AAAqAQAAZHJzL2Uyb0RvYy54bWxQSwUGAAAAAAYABgBZAQAAogUAAAAA&#10;">
                      <v:fill on="f" focussize="0,0"/>
                      <v:stroke color="#000000" joinstyle="round" endarrow="block"/>
                      <v:imagedata o:title=""/>
                      <o:lock v:ext="edit" aspectratio="f"/>
                    </v:shape>
                  </w:pict>
                </mc:Fallback>
              </mc:AlternateContent>
            </w:r>
            <w:r>
              <w:rPr>
                <w:rFonts w:hint="eastAsia" w:ascii="Times New Roman" w:hAnsi="Times New Roman" w:eastAsia="宋体" w:cs="Times New Roman"/>
                <w:sz w:val="24"/>
                <w:szCs w:val="24"/>
                <w:lang w:val="en-US" w:eastAsia="zh-CN" w:bidi="ar-SA"/>
              </w:rPr>
              <w:t>：</w:t>
            </w:r>
          </w:p>
          <w:p>
            <w:pPr>
              <w:keepNext w:val="0"/>
              <w:keepLines w:val="0"/>
              <w:pageBreakBefore w:val="0"/>
              <w:widowControl/>
              <w:kinsoku/>
              <w:wordWrap/>
              <w:overflowPunct/>
              <w:topLinePunct w:val="0"/>
              <w:autoSpaceDE/>
              <w:autoSpaceDN/>
              <w:bidi w:val="0"/>
              <w:adjustRightInd w:val="0"/>
              <w:snapToGrid w:val="0"/>
              <w:spacing w:after="0" w:afterLines="0" w:line="360" w:lineRule="auto"/>
              <w:ind w:firstLine="480" w:firstLineChars="200"/>
              <w:jc w:val="both"/>
              <w:textAlignment w:val="auto"/>
              <w:rPr>
                <w:rFonts w:hint="eastAsia"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絮凝加药过程</w:t>
            </w:r>
          </w:p>
          <w:p>
            <w:pPr>
              <w:keepNext w:val="0"/>
              <w:keepLines w:val="0"/>
              <w:pageBreakBefore w:val="0"/>
              <w:widowControl/>
              <w:kinsoku/>
              <w:wordWrap/>
              <w:overflowPunct/>
              <w:topLinePunct w:val="0"/>
              <w:autoSpaceDE/>
              <w:autoSpaceDN/>
              <w:bidi w:val="0"/>
              <w:adjustRightInd w:val="0"/>
              <w:snapToGrid w:val="0"/>
              <w:spacing w:after="0" w:afterLines="0" w:line="360" w:lineRule="auto"/>
              <w:ind w:firstLine="480" w:firstLineChars="200"/>
              <w:jc w:val="both"/>
              <w:textAlignment w:val="auto"/>
              <w:rPr>
                <w:rFonts w:hint="eastAsia"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按工艺要求制备合适的混凝剂，并对药剂进行溶解、配制和计量后，通过加药泵将混凝剂投加到管道混合器，与原水充分混合，并进行充分、均匀地扩散于水体中，在外力的作用下，使具有絮凝性能的水中胶体、悬浮物与药剂相互接触碰撞，生成矾花，从而形成更大的絮粒，以适应沉降分离的要求。</w:t>
            </w:r>
          </w:p>
          <w:p>
            <w:pPr>
              <w:keepNext w:val="0"/>
              <w:keepLines w:val="0"/>
              <w:pageBreakBefore w:val="0"/>
              <w:widowControl/>
              <w:kinsoku/>
              <w:wordWrap/>
              <w:overflowPunct/>
              <w:topLinePunct w:val="0"/>
              <w:autoSpaceDE/>
              <w:autoSpaceDN/>
              <w:bidi w:val="0"/>
              <w:adjustRightInd w:val="0"/>
              <w:snapToGrid w:val="0"/>
              <w:spacing w:after="0" w:afterLines="0" w:line="360" w:lineRule="auto"/>
              <w:ind w:firstLine="480" w:firstLineChars="200"/>
              <w:jc w:val="both"/>
              <w:textAlignment w:val="auto"/>
              <w:rPr>
                <w:rFonts w:hint="eastAsia"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沉淀过程</w:t>
            </w:r>
          </w:p>
          <w:p>
            <w:pPr>
              <w:keepNext w:val="0"/>
              <w:keepLines w:val="0"/>
              <w:pageBreakBefore w:val="0"/>
              <w:widowControl/>
              <w:kinsoku/>
              <w:wordWrap/>
              <w:overflowPunct/>
              <w:topLinePunct w:val="0"/>
              <w:autoSpaceDE/>
              <w:autoSpaceDN/>
              <w:bidi w:val="0"/>
              <w:adjustRightInd w:val="0"/>
              <w:snapToGrid w:val="0"/>
              <w:spacing w:after="0" w:afterLines="0" w:line="360" w:lineRule="auto"/>
              <w:ind w:firstLine="480" w:firstLineChars="200"/>
              <w:jc w:val="both"/>
              <w:textAlignment w:val="auto"/>
              <w:rPr>
                <w:rFonts w:hint="eastAsia"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原水经过混合与絮凝过程后，将粗大絮凝体采用沉淀过程，使絮凝体从水中沉降、分离，从而获得澄清水。</w:t>
            </w:r>
          </w:p>
          <w:p>
            <w:pPr>
              <w:keepNext w:val="0"/>
              <w:keepLines w:val="0"/>
              <w:pageBreakBefore w:val="0"/>
              <w:widowControl/>
              <w:kinsoku/>
              <w:wordWrap/>
              <w:overflowPunct/>
              <w:topLinePunct w:val="0"/>
              <w:autoSpaceDE/>
              <w:autoSpaceDN/>
              <w:bidi w:val="0"/>
              <w:adjustRightInd w:val="0"/>
              <w:snapToGrid w:val="0"/>
              <w:spacing w:after="0" w:afterLines="0" w:line="360" w:lineRule="auto"/>
              <w:ind w:firstLine="480" w:firstLineChars="200"/>
              <w:jc w:val="both"/>
              <w:textAlignment w:val="auto"/>
              <w:rPr>
                <w:rFonts w:hint="eastAsia"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过滤与反冲洗过程</w:t>
            </w:r>
          </w:p>
          <w:p>
            <w:pPr>
              <w:keepNext w:val="0"/>
              <w:keepLines w:val="0"/>
              <w:pageBreakBefore w:val="0"/>
              <w:widowControl/>
              <w:kinsoku/>
              <w:wordWrap/>
              <w:overflowPunct/>
              <w:topLinePunct w:val="0"/>
              <w:autoSpaceDE/>
              <w:autoSpaceDN/>
              <w:bidi w:val="0"/>
              <w:adjustRightInd w:val="0"/>
              <w:snapToGrid w:val="0"/>
              <w:spacing w:after="0" w:afterLines="0" w:line="360" w:lineRule="auto"/>
              <w:ind w:firstLine="480" w:firstLineChars="200"/>
              <w:jc w:val="both"/>
              <w:textAlignment w:val="auto"/>
              <w:rPr>
                <w:rFonts w:hint="eastAsia"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从沉淀池获得的澄清水通过石英砂等滤料过滤，有效去除水中的固体悬浮物、细小颗粒物、COD，降低浊度。当滤层阻塞时，通过气水反冲洗保持滤层的过滤能力，气水反冲洗的步骤为先气洗，然后再水洗，最后气水洗同时进行，可保证滤层的清洁，恢复滤料的过滤作用。水洗的步骤为直接采用虹吸重力方式进行水洗，保证滤层清洁，回复滤料的过滤作用，同时做到节能降耗。</w:t>
            </w:r>
          </w:p>
          <w:p>
            <w:pPr>
              <w:keepNext w:val="0"/>
              <w:keepLines w:val="0"/>
              <w:pageBreakBefore w:val="0"/>
              <w:widowControl/>
              <w:kinsoku/>
              <w:wordWrap/>
              <w:overflowPunct/>
              <w:topLinePunct w:val="0"/>
              <w:autoSpaceDE/>
              <w:autoSpaceDN/>
              <w:bidi w:val="0"/>
              <w:adjustRightInd w:val="0"/>
              <w:snapToGrid w:val="0"/>
              <w:spacing w:after="0" w:afterLines="0" w:line="360" w:lineRule="auto"/>
              <w:jc w:val="both"/>
              <w:textAlignment w:val="auto"/>
              <w:rPr>
                <w:rFonts w:hint="default" w:ascii="Times New Roman" w:hAnsi="Times New Roman" w:eastAsia="楷体" w:cs="Times New Roman"/>
                <w:b/>
                <w:bCs/>
                <w:color w:val="000000"/>
                <w:sz w:val="28"/>
                <w:szCs w:val="28"/>
              </w:rPr>
            </w:pPr>
            <w:r>
              <w:rPr>
                <w:rFonts w:hint="eastAsia" w:ascii="Times New Roman" w:hAnsi="Times New Roman" w:eastAsia="楷体" w:cs="Times New Roman"/>
                <w:b/>
                <w:bCs/>
                <w:color w:val="000000"/>
                <w:sz w:val="28"/>
                <w:szCs w:val="28"/>
                <w:lang w:val="en-US" w:eastAsia="zh-CN"/>
              </w:rPr>
              <w:t xml:space="preserve">2.6 </w:t>
            </w:r>
            <w:r>
              <w:rPr>
                <w:rFonts w:hint="default" w:ascii="Times New Roman" w:hAnsi="Times New Roman" w:eastAsia="楷体" w:cs="Times New Roman"/>
                <w:b/>
                <w:bCs/>
                <w:color w:val="000000"/>
                <w:sz w:val="28"/>
                <w:szCs w:val="28"/>
              </w:rPr>
              <w:t>土石方平衡</w:t>
            </w:r>
          </w:p>
          <w:p>
            <w:pPr>
              <w:pStyle w:val="5"/>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根据调查，本项目土石方开挖</w:t>
            </w:r>
            <w:r>
              <w:rPr>
                <w:rFonts w:hint="eastAsia" w:ascii="Times New Roman" w:hAnsi="Times New Roman" w:eastAsia="宋体" w:cs="Times New Roman"/>
                <w:sz w:val="24"/>
                <w:szCs w:val="24"/>
                <w:lang w:val="en-US" w:eastAsia="zh-CN"/>
              </w:rPr>
              <w:t>4000</w:t>
            </w:r>
            <w:r>
              <w:rPr>
                <w:rFonts w:hint="default" w:ascii="Times New Roman" w:hAnsi="Times New Roman" w:eastAsia="宋体" w:cs="Times New Roman"/>
                <w:sz w:val="24"/>
                <w:szCs w:val="24"/>
              </w:rPr>
              <w:t>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，填方量</w:t>
            </w:r>
            <w:r>
              <w:rPr>
                <w:rFonts w:hint="eastAsia" w:ascii="Times New Roman" w:hAnsi="Times New Roman" w:eastAsia="宋体" w:cs="Times New Roman"/>
                <w:sz w:val="24"/>
                <w:szCs w:val="24"/>
                <w:lang w:val="en-US" w:eastAsia="zh-CN"/>
              </w:rPr>
              <w:t>2300</w:t>
            </w:r>
            <w:r>
              <w:rPr>
                <w:rFonts w:hint="default" w:ascii="Times New Roman" w:hAnsi="Times New Roman" w:eastAsia="宋体" w:cs="Times New Roman"/>
                <w:sz w:val="24"/>
                <w:szCs w:val="24"/>
              </w:rPr>
              <w:t>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，弃方</w:t>
            </w:r>
            <w:r>
              <w:rPr>
                <w:rFonts w:hint="eastAsia" w:ascii="Times New Roman" w:hAnsi="Times New Roman" w:eastAsia="宋体" w:cs="Times New Roman"/>
                <w:sz w:val="24"/>
                <w:szCs w:val="24"/>
                <w:lang w:val="en-US" w:eastAsia="zh-CN"/>
              </w:rPr>
              <w:t>1700</w:t>
            </w:r>
            <w:r>
              <w:rPr>
                <w:rFonts w:hint="default" w:ascii="Times New Roman" w:hAnsi="Times New Roman" w:eastAsia="宋体" w:cs="Times New Roman"/>
                <w:sz w:val="24"/>
                <w:szCs w:val="24"/>
              </w:rPr>
              <w:t>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，弃方</w:t>
            </w:r>
            <w:r>
              <w:rPr>
                <w:rFonts w:hint="default" w:ascii="Times New Roman" w:hAnsi="Times New Roman" w:eastAsia="宋体" w:cs="Times New Roman"/>
                <w:sz w:val="24"/>
                <w:szCs w:val="24"/>
                <w:lang w:val="en-US" w:eastAsia="zh-CN"/>
              </w:rPr>
              <w:t>用于水厂周边沟壑填平</w:t>
            </w:r>
            <w:r>
              <w:rPr>
                <w:rFonts w:hint="default" w:ascii="Times New Roman" w:hAnsi="Times New Roman" w:eastAsia="宋体" w:cs="Times New Roman"/>
                <w:sz w:val="24"/>
                <w:szCs w:val="24"/>
              </w:rPr>
              <w:t>。项目土石方平衡情况见表2</w:t>
            </w:r>
            <w:r>
              <w:rPr>
                <w:rFonts w:hint="eastAsia"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w:t>
            </w:r>
          </w:p>
          <w:p>
            <w:pPr>
              <w:pStyle w:val="6"/>
              <w:keepNext w:val="0"/>
              <w:keepLines w:val="0"/>
              <w:pageBreakBefore w:val="0"/>
              <w:widowControl/>
              <w:kinsoku/>
              <w:wordWrap/>
              <w:overflowPunct/>
              <w:topLinePunct w:val="0"/>
              <w:autoSpaceDE/>
              <w:autoSpaceDN/>
              <w:bidi w:val="0"/>
              <w:adjustRightInd w:val="0"/>
              <w:snapToGrid w:val="0"/>
              <w:spacing w:after="0" w:line="240" w:lineRule="auto"/>
              <w:ind w:left="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表2</w:t>
            </w:r>
            <w:r>
              <w:rPr>
                <w:rFonts w:hint="eastAsia" w:ascii="Times New Roman" w:hAnsi="Times New Roman" w:eastAsia="宋体" w:cs="Times New Roman"/>
                <w:b/>
                <w:bCs/>
                <w:sz w:val="21"/>
                <w:szCs w:val="21"/>
                <w:lang w:val="en-US" w:eastAsia="zh-CN"/>
              </w:rPr>
              <w:t xml:space="preserve">-4 </w:t>
            </w:r>
            <w:r>
              <w:rPr>
                <w:rFonts w:hint="default" w:ascii="Times New Roman" w:hAnsi="Times New Roman" w:eastAsia="宋体" w:cs="Times New Roman"/>
                <w:b/>
                <w:bCs/>
                <w:sz w:val="21"/>
                <w:szCs w:val="21"/>
              </w:rPr>
              <w:t xml:space="preserve"> 项目土石方平衡一览表</w:t>
            </w:r>
            <w:r>
              <w:rPr>
                <w:rFonts w:hint="eastAsia" w:ascii="Times New Roman" w:hAnsi="Times New Roman" w:eastAsia="宋体" w:cs="Times New Roman"/>
                <w:b/>
                <w:bCs/>
                <w:sz w:val="21"/>
                <w:szCs w:val="21"/>
                <w:lang w:val="en-US" w:eastAsia="zh-CN"/>
              </w:rPr>
              <w:t xml:space="preserve">         </w:t>
            </w:r>
            <w:r>
              <w:rPr>
                <w:rFonts w:hint="default" w:ascii="Times New Roman" w:hAnsi="Times New Roman" w:eastAsia="宋体" w:cs="Times New Roman"/>
                <w:b/>
                <w:bCs/>
                <w:sz w:val="21"/>
                <w:szCs w:val="21"/>
              </w:rPr>
              <w:t>单位：m</w:t>
            </w:r>
            <w:r>
              <w:rPr>
                <w:rFonts w:hint="default" w:ascii="Times New Roman" w:hAnsi="Times New Roman" w:eastAsia="宋体" w:cs="Times New Roman"/>
                <w:b/>
                <w:bCs/>
                <w:sz w:val="21"/>
                <w:szCs w:val="21"/>
                <w:vertAlign w:val="superscript"/>
              </w:rPr>
              <w:t>3</w:t>
            </w:r>
          </w:p>
          <w:tbl>
            <w:tblPr>
              <w:tblStyle w:val="11"/>
              <w:tblW w:w="8812"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35"/>
              <w:gridCol w:w="1275"/>
              <w:gridCol w:w="930"/>
              <w:gridCol w:w="1380"/>
              <w:gridCol w:w="1635"/>
              <w:gridCol w:w="94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17" w:type="dxa"/>
                  <w:vMerge w:val="restart"/>
                  <w:tcBorders>
                    <w:tl2br w:val="nil"/>
                    <w:tr2bl w:val="nil"/>
                  </w:tcBorders>
                  <w:vAlign w:val="center"/>
                </w:tcPr>
                <w:p>
                  <w:pPr>
                    <w:pStyle w:val="5"/>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名称</w:t>
                  </w:r>
                </w:p>
              </w:tc>
              <w:tc>
                <w:tcPr>
                  <w:tcW w:w="3540" w:type="dxa"/>
                  <w:gridSpan w:val="3"/>
                  <w:tcBorders>
                    <w:tl2br w:val="nil"/>
                    <w:tr2bl w:val="nil"/>
                  </w:tcBorders>
                  <w:vAlign w:val="center"/>
                </w:tcPr>
                <w:p>
                  <w:pPr>
                    <w:pStyle w:val="5"/>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sz w:val="21"/>
                      <w:szCs w:val="21"/>
                      <w:vertAlign w:val="baseline"/>
                    </w:rPr>
                  </w:pPr>
                  <w:r>
                    <w:rPr>
                      <w:rFonts w:hint="eastAsia" w:ascii="Times New Roman" w:hAnsi="Times New Roman" w:eastAsia="宋体" w:cs="Times New Roman"/>
                      <w:sz w:val="21"/>
                      <w:szCs w:val="21"/>
                      <w:vertAlign w:val="baseline"/>
                      <w:lang w:val="en-US" w:eastAsia="zh-CN"/>
                    </w:rPr>
                    <w:t>环评阶段</w:t>
                  </w:r>
                </w:p>
              </w:tc>
              <w:tc>
                <w:tcPr>
                  <w:tcW w:w="3955" w:type="dxa"/>
                  <w:gridSpan w:val="3"/>
                  <w:tcBorders>
                    <w:tl2br w:val="nil"/>
                    <w:tr2bl w:val="nil"/>
                  </w:tcBorders>
                  <w:vAlign w:val="center"/>
                </w:tcPr>
                <w:p>
                  <w:pPr>
                    <w:pStyle w:val="5"/>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sz w:val="21"/>
                      <w:szCs w:val="21"/>
                      <w:vertAlign w:val="baseline"/>
                    </w:rPr>
                  </w:pPr>
                  <w:r>
                    <w:rPr>
                      <w:rFonts w:hint="eastAsia" w:ascii="Times New Roman" w:hAnsi="Times New Roman" w:eastAsia="宋体" w:cs="Times New Roman"/>
                      <w:sz w:val="21"/>
                      <w:szCs w:val="21"/>
                      <w:vertAlign w:val="baseline"/>
                      <w:lang w:val="en-US" w:eastAsia="zh-CN"/>
                    </w:rPr>
                    <w:t>实际建设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17" w:type="dxa"/>
                  <w:vMerge w:val="continue"/>
                  <w:tcBorders>
                    <w:tl2br w:val="nil"/>
                    <w:tr2bl w:val="nil"/>
                  </w:tcBorders>
                  <w:vAlign w:val="center"/>
                </w:tcPr>
                <w:p>
                  <w:pPr>
                    <w:pStyle w:val="5"/>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sz w:val="21"/>
                      <w:szCs w:val="21"/>
                      <w:vertAlign w:val="baseline"/>
                    </w:rPr>
                  </w:pPr>
                </w:p>
              </w:tc>
              <w:tc>
                <w:tcPr>
                  <w:tcW w:w="1335" w:type="dxa"/>
                  <w:tcBorders>
                    <w:tl2br w:val="nil"/>
                    <w:tr2bl w:val="nil"/>
                  </w:tcBorders>
                  <w:vAlign w:val="center"/>
                </w:tcPr>
                <w:p>
                  <w:pPr>
                    <w:pStyle w:val="5"/>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土石方开挖</w:t>
                  </w:r>
                </w:p>
              </w:tc>
              <w:tc>
                <w:tcPr>
                  <w:tcW w:w="1275" w:type="dxa"/>
                  <w:tcBorders>
                    <w:tl2br w:val="nil"/>
                    <w:tr2bl w:val="nil"/>
                  </w:tcBorders>
                  <w:vAlign w:val="center"/>
                </w:tcPr>
                <w:p>
                  <w:pPr>
                    <w:pStyle w:val="5"/>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土石方回填</w:t>
                  </w:r>
                </w:p>
              </w:tc>
              <w:tc>
                <w:tcPr>
                  <w:tcW w:w="930" w:type="dxa"/>
                  <w:tcBorders>
                    <w:tl2br w:val="nil"/>
                    <w:tr2bl w:val="nil"/>
                  </w:tcBorders>
                  <w:vAlign w:val="center"/>
                </w:tcPr>
                <w:p>
                  <w:pPr>
                    <w:pStyle w:val="5"/>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弃方</w:t>
                  </w:r>
                </w:p>
              </w:tc>
              <w:tc>
                <w:tcPr>
                  <w:tcW w:w="1380" w:type="dxa"/>
                  <w:tcBorders>
                    <w:tl2br w:val="nil"/>
                    <w:tr2bl w:val="nil"/>
                  </w:tcBorders>
                  <w:vAlign w:val="center"/>
                </w:tcPr>
                <w:p>
                  <w:pPr>
                    <w:pStyle w:val="5"/>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sz w:val="21"/>
                      <w:szCs w:val="21"/>
                      <w:vertAlign w:val="baseline"/>
                      <w:lang w:val="en-US" w:eastAsia="zh-CN" w:bidi="ar-SA"/>
                    </w:rPr>
                  </w:pPr>
                  <w:r>
                    <w:rPr>
                      <w:rFonts w:hint="eastAsia" w:ascii="Times New Roman" w:hAnsi="Times New Roman" w:eastAsia="宋体" w:cs="Times New Roman"/>
                      <w:sz w:val="21"/>
                      <w:szCs w:val="21"/>
                      <w:vertAlign w:val="baseline"/>
                      <w:lang w:val="en-US" w:eastAsia="zh-CN"/>
                    </w:rPr>
                    <w:t>土石方开挖</w:t>
                  </w:r>
                </w:p>
              </w:tc>
              <w:tc>
                <w:tcPr>
                  <w:tcW w:w="1635" w:type="dxa"/>
                  <w:tcBorders>
                    <w:tl2br w:val="nil"/>
                    <w:tr2bl w:val="nil"/>
                  </w:tcBorders>
                  <w:vAlign w:val="center"/>
                </w:tcPr>
                <w:p>
                  <w:pPr>
                    <w:pStyle w:val="5"/>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sz w:val="21"/>
                      <w:szCs w:val="21"/>
                      <w:vertAlign w:val="baseline"/>
                      <w:lang w:val="en-US" w:eastAsia="zh-CN" w:bidi="ar-SA"/>
                    </w:rPr>
                  </w:pPr>
                  <w:r>
                    <w:rPr>
                      <w:rFonts w:hint="eastAsia" w:ascii="Times New Roman" w:hAnsi="Times New Roman" w:eastAsia="宋体" w:cs="Times New Roman"/>
                      <w:sz w:val="21"/>
                      <w:szCs w:val="21"/>
                      <w:vertAlign w:val="baseline"/>
                      <w:lang w:val="en-US" w:eastAsia="zh-CN"/>
                    </w:rPr>
                    <w:t>土石方回填</w:t>
                  </w:r>
                </w:p>
              </w:tc>
              <w:tc>
                <w:tcPr>
                  <w:tcW w:w="940" w:type="dxa"/>
                  <w:tcBorders>
                    <w:tl2br w:val="nil"/>
                    <w:tr2bl w:val="nil"/>
                  </w:tcBorders>
                  <w:vAlign w:val="center"/>
                </w:tcPr>
                <w:p>
                  <w:pPr>
                    <w:pStyle w:val="5"/>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sz w:val="21"/>
                      <w:szCs w:val="21"/>
                      <w:vertAlign w:val="baseline"/>
                      <w:lang w:val="en-US" w:eastAsia="zh-CN" w:bidi="ar-SA"/>
                    </w:rPr>
                  </w:pPr>
                  <w:r>
                    <w:rPr>
                      <w:rFonts w:hint="eastAsia" w:ascii="Times New Roman" w:hAnsi="Times New Roman" w:eastAsia="宋体" w:cs="Times New Roman"/>
                      <w:sz w:val="21"/>
                      <w:szCs w:val="21"/>
                      <w:vertAlign w:val="baseline"/>
                      <w:lang w:val="en-US" w:eastAsia="zh-CN"/>
                    </w:rPr>
                    <w:t>弃方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17" w:type="dxa"/>
                  <w:tcBorders>
                    <w:tl2br w:val="nil"/>
                    <w:tr2bl w:val="nil"/>
                  </w:tcBorders>
                  <w:vAlign w:val="center"/>
                </w:tcPr>
                <w:p>
                  <w:pPr>
                    <w:pStyle w:val="5"/>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sz w:val="21"/>
                      <w:szCs w:val="21"/>
                      <w:vertAlign w:val="baseline"/>
                    </w:rPr>
                  </w:pPr>
                  <w:r>
                    <w:rPr>
                      <w:rFonts w:hint="eastAsia" w:ascii="Times New Roman" w:hAnsi="Times New Roman" w:eastAsia="宋体" w:cs="Times New Roman"/>
                      <w:sz w:val="21"/>
                      <w:szCs w:val="21"/>
                      <w:vertAlign w:val="baseline"/>
                      <w:lang w:val="en-US" w:eastAsia="zh-CN"/>
                    </w:rPr>
                    <w:t>措周</w:t>
                  </w:r>
                  <w:r>
                    <w:rPr>
                      <w:rFonts w:hint="default" w:ascii="Times New Roman" w:hAnsi="Times New Roman" w:eastAsia="宋体" w:cs="Times New Roman"/>
                      <w:sz w:val="21"/>
                      <w:szCs w:val="21"/>
                      <w:vertAlign w:val="baseline"/>
                    </w:rPr>
                    <w:t>乡水厂</w:t>
                  </w:r>
                </w:p>
              </w:tc>
              <w:tc>
                <w:tcPr>
                  <w:tcW w:w="1335" w:type="dxa"/>
                  <w:tcBorders>
                    <w:tl2br w:val="nil"/>
                    <w:tr2bl w:val="nil"/>
                  </w:tcBorders>
                  <w:vAlign w:val="center"/>
                </w:tcPr>
                <w:p>
                  <w:pPr>
                    <w:pStyle w:val="5"/>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4000</w:t>
                  </w:r>
                </w:p>
              </w:tc>
              <w:tc>
                <w:tcPr>
                  <w:tcW w:w="1275" w:type="dxa"/>
                  <w:tcBorders>
                    <w:tl2br w:val="nil"/>
                    <w:tr2bl w:val="nil"/>
                  </w:tcBorders>
                  <w:vAlign w:val="center"/>
                </w:tcPr>
                <w:p>
                  <w:pPr>
                    <w:pStyle w:val="5"/>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2300</w:t>
                  </w:r>
                </w:p>
              </w:tc>
              <w:tc>
                <w:tcPr>
                  <w:tcW w:w="930" w:type="dxa"/>
                  <w:tcBorders>
                    <w:tl2br w:val="nil"/>
                    <w:tr2bl w:val="nil"/>
                  </w:tcBorders>
                  <w:vAlign w:val="center"/>
                </w:tcPr>
                <w:p>
                  <w:pPr>
                    <w:pStyle w:val="5"/>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1700</w:t>
                  </w:r>
                </w:p>
              </w:tc>
              <w:tc>
                <w:tcPr>
                  <w:tcW w:w="1380" w:type="dxa"/>
                  <w:tcBorders>
                    <w:tl2br w:val="nil"/>
                    <w:tr2bl w:val="nil"/>
                  </w:tcBorders>
                  <w:vAlign w:val="center"/>
                </w:tcPr>
                <w:p>
                  <w:pPr>
                    <w:pStyle w:val="5"/>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4000</w:t>
                  </w:r>
                </w:p>
              </w:tc>
              <w:tc>
                <w:tcPr>
                  <w:tcW w:w="1635" w:type="dxa"/>
                  <w:tcBorders>
                    <w:tl2br w:val="nil"/>
                    <w:tr2bl w:val="nil"/>
                  </w:tcBorders>
                  <w:vAlign w:val="center"/>
                </w:tcPr>
                <w:p>
                  <w:pPr>
                    <w:pStyle w:val="5"/>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2300</w:t>
                  </w:r>
                </w:p>
              </w:tc>
              <w:tc>
                <w:tcPr>
                  <w:tcW w:w="940" w:type="dxa"/>
                  <w:tcBorders>
                    <w:tl2br w:val="nil"/>
                    <w:tr2bl w:val="nil"/>
                  </w:tcBorders>
                  <w:vAlign w:val="center"/>
                </w:tcPr>
                <w:p>
                  <w:pPr>
                    <w:pStyle w:val="5"/>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1700</w:t>
                  </w:r>
                </w:p>
              </w:tc>
            </w:tr>
          </w:tbl>
          <w:p>
            <w:pPr>
              <w:keepNext w:val="0"/>
              <w:keepLines w:val="0"/>
              <w:pageBreakBefore w:val="0"/>
              <w:widowControl/>
              <w:kinsoku/>
              <w:wordWrap/>
              <w:overflowPunct/>
              <w:topLinePunct w:val="0"/>
              <w:autoSpaceDE/>
              <w:autoSpaceDN/>
              <w:bidi w:val="0"/>
              <w:adjustRightInd w:val="0"/>
              <w:snapToGrid w:val="0"/>
              <w:spacing w:before="181" w:beforeLines="50" w:after="0" w:afterLines="0" w:line="360" w:lineRule="auto"/>
              <w:jc w:val="both"/>
              <w:textAlignment w:val="auto"/>
              <w:rPr>
                <w:rFonts w:hint="default" w:ascii="Times New Roman" w:hAnsi="Times New Roman" w:eastAsia="楷体" w:cs="Times New Roman"/>
                <w:b/>
                <w:bCs/>
                <w:color w:val="000000"/>
                <w:sz w:val="28"/>
                <w:szCs w:val="28"/>
              </w:rPr>
            </w:pPr>
            <w:r>
              <w:rPr>
                <w:rFonts w:hint="eastAsia" w:ascii="Times New Roman" w:hAnsi="Times New Roman" w:eastAsia="楷体" w:cs="Times New Roman"/>
                <w:b/>
                <w:bCs/>
                <w:color w:val="000000"/>
                <w:sz w:val="28"/>
                <w:szCs w:val="28"/>
                <w:lang w:val="en-US" w:eastAsia="zh-CN"/>
              </w:rPr>
              <w:t xml:space="preserve">2.7 </w:t>
            </w:r>
            <w:r>
              <w:rPr>
                <w:rFonts w:hint="default" w:ascii="Times New Roman" w:hAnsi="Times New Roman" w:eastAsia="楷体" w:cs="Times New Roman"/>
                <w:b/>
                <w:bCs/>
                <w:color w:val="000000"/>
                <w:sz w:val="28"/>
                <w:szCs w:val="28"/>
              </w:rPr>
              <w:t>工程占地</w:t>
            </w:r>
          </w:p>
          <w:p>
            <w:pPr>
              <w:pStyle w:val="5"/>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（1）永久占地</w:t>
            </w:r>
          </w:p>
          <w:p>
            <w:pPr>
              <w:pStyle w:val="5"/>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工程在已建项目主管道上游段那卡社</w:t>
            </w:r>
            <w:r>
              <w:rPr>
                <w:rFonts w:hint="default" w:ascii="Times New Roman" w:hAnsi="Times New Roman" w:eastAsia="宋体" w:cs="Times New Roman"/>
                <w:sz w:val="24"/>
                <w:szCs w:val="24"/>
                <w:lang w:val="en-US" w:eastAsia="zh-CN"/>
              </w:rPr>
              <w:t>南</w:t>
            </w:r>
            <w:r>
              <w:rPr>
                <w:rFonts w:hint="default" w:ascii="Times New Roman" w:hAnsi="Times New Roman" w:eastAsia="宋体" w:cs="Times New Roman"/>
                <w:sz w:val="24"/>
                <w:szCs w:val="24"/>
                <w:lang w:eastAsia="zh-CN"/>
              </w:rPr>
              <w:t>侧新建200t预沉池1座，在预沉池下游300m处布设800t/d集成一体式净化水厂，净化水厂产出水至150t清水池。清水池前布置1座闸室，闸室主要控制水厂反洗及自用水系统。本次利用原工程供水管道接入下游各村现状蓄水池进行调蓄，再利用已建配套管网自流入户。</w:t>
            </w:r>
          </w:p>
          <w:p>
            <w:pPr>
              <w:pStyle w:val="5"/>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场外道路420m，其中砼硬化道路10m，路基采用素土压实，后铺设20cm厚砂砾石垫层，最后浇筑20cm厚的C20混凝土路面，砼路面宽3.5m；砂砾石道路410m，路基采用素土压实，后铺设20cm厚砂砾石路面，宽2.5m，占地面积1060m</w:t>
            </w:r>
            <w:r>
              <w:rPr>
                <w:rFonts w:hint="default" w:ascii="Times New Roman" w:hAnsi="Times New Roman" w:eastAsia="宋体" w:cs="Times New Roman"/>
                <w:sz w:val="24"/>
                <w:szCs w:val="24"/>
                <w:vertAlign w:val="superscript"/>
              </w:rPr>
              <w:t>2</w:t>
            </w:r>
            <w:r>
              <w:rPr>
                <w:rFonts w:hint="default" w:ascii="Times New Roman" w:hAnsi="Times New Roman" w:eastAsia="宋体" w:cs="Times New Roman"/>
                <w:sz w:val="24"/>
                <w:szCs w:val="24"/>
              </w:rPr>
              <w:t>。</w:t>
            </w:r>
          </w:p>
          <w:p>
            <w:pPr>
              <w:pStyle w:val="5"/>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本项目永久占地主要为</w:t>
            </w:r>
            <w:r>
              <w:rPr>
                <w:rFonts w:hint="default" w:ascii="Times New Roman" w:hAnsi="Times New Roman" w:eastAsia="宋体" w:cs="Times New Roman"/>
                <w:sz w:val="24"/>
                <w:szCs w:val="24"/>
                <w:lang w:val="en-US" w:eastAsia="zh-CN"/>
              </w:rPr>
              <w:t>水厂建设，建筑物用地面积549.4m</w:t>
            </w:r>
            <w:r>
              <w:rPr>
                <w:rFonts w:hint="default" w:ascii="Times New Roman" w:hAnsi="Times New Roman" w:eastAsia="宋体" w:cs="Times New Roman"/>
                <w:sz w:val="24"/>
                <w:szCs w:val="24"/>
                <w:vertAlign w:val="superscript"/>
                <w:lang w:val="en-US" w:eastAsia="zh-CN"/>
              </w:rPr>
              <w:t>2</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现状为荒地。</w:t>
            </w:r>
          </w:p>
          <w:p>
            <w:pPr>
              <w:pStyle w:val="5"/>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（2）临时占地</w:t>
            </w:r>
          </w:p>
          <w:p>
            <w:pPr>
              <w:pStyle w:val="5"/>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项目施工人员营地可租住附近村庄空置民房，项目区与村庄间有乡道，无需临时道路，土石方临时</w:t>
            </w:r>
            <w:r>
              <w:rPr>
                <w:rFonts w:hint="default" w:ascii="Times New Roman" w:hAnsi="Times New Roman" w:eastAsia="宋体" w:cs="Times New Roman"/>
                <w:sz w:val="24"/>
                <w:szCs w:val="24"/>
                <w:lang w:val="en-US" w:eastAsia="zh-CN"/>
              </w:rPr>
              <w:t>堆放可在项目区</w:t>
            </w:r>
            <w:r>
              <w:rPr>
                <w:rFonts w:hint="eastAsia" w:ascii="Times New Roman" w:hAnsi="Times New Roman" w:eastAsia="宋体" w:cs="Times New Roman"/>
                <w:sz w:val="24"/>
                <w:szCs w:val="24"/>
                <w:lang w:val="en-US" w:eastAsia="zh-CN"/>
              </w:rPr>
              <w:t>，无需临时占地。</w:t>
            </w:r>
          </w:p>
          <w:p>
            <w:pPr>
              <w:pStyle w:val="5"/>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rPr>
              <w:t>本工程不涉及当地居民的拆迁、安置问题</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与环评阶段设计</w:t>
            </w:r>
            <w:r>
              <w:rPr>
                <w:rFonts w:hint="eastAsia" w:ascii="Times New Roman" w:hAnsi="Times New Roman" w:eastAsia="宋体" w:cs="Times New Roman"/>
                <w:sz w:val="24"/>
                <w:szCs w:val="24"/>
                <w:lang w:val="en-US" w:eastAsia="zh-CN"/>
              </w:rPr>
              <w:t>阶段占地</w:t>
            </w:r>
            <w:r>
              <w:rPr>
                <w:rFonts w:hint="default" w:ascii="Times New Roman" w:hAnsi="Times New Roman" w:eastAsia="宋体" w:cs="Times New Roman"/>
                <w:sz w:val="24"/>
                <w:szCs w:val="24"/>
              </w:rPr>
              <w:t>一致</w:t>
            </w:r>
            <w:r>
              <w:rPr>
                <w:rFonts w:hint="eastAsia" w:ascii="Times New Roman" w:hAnsi="Times New Roman" w:eastAsia="宋体" w:cs="Times New Roman"/>
                <w:sz w:val="24"/>
                <w:szCs w:val="24"/>
                <w:lang w:eastAsia="zh-CN"/>
              </w:rPr>
              <w:t>。</w:t>
            </w:r>
          </w:p>
          <w:p>
            <w:pPr>
              <w:pStyle w:val="5"/>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工程占地统计情况见表</w:t>
            </w:r>
            <w:r>
              <w:rPr>
                <w:rFonts w:hint="eastAsia" w:ascii="Times New Roman" w:hAnsi="Times New Roman" w:eastAsia="宋体" w:cs="Times New Roman"/>
                <w:sz w:val="24"/>
                <w:szCs w:val="24"/>
                <w:lang w:val="en-US" w:eastAsia="zh-CN"/>
              </w:rPr>
              <w:t>2-5</w:t>
            </w:r>
            <w:r>
              <w:rPr>
                <w:rFonts w:hint="default" w:ascii="Times New Roman" w:hAnsi="Times New Roman" w:eastAsia="宋体" w:cs="Times New Roman"/>
                <w:sz w:val="24"/>
                <w:szCs w:val="24"/>
              </w:rPr>
              <w:t>。</w:t>
            </w:r>
          </w:p>
          <w:p>
            <w:pPr>
              <w:pStyle w:val="5"/>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b/>
                <w:bCs/>
                <w:sz w:val="21"/>
                <w:szCs w:val="21"/>
                <w:vertAlign w:val="superscript"/>
              </w:rPr>
            </w:pPr>
            <w:r>
              <w:rPr>
                <w:rFonts w:hint="default" w:ascii="Times New Roman" w:hAnsi="Times New Roman" w:eastAsia="宋体" w:cs="Times New Roman"/>
                <w:b/>
                <w:bCs/>
                <w:sz w:val="21"/>
                <w:szCs w:val="21"/>
              </w:rPr>
              <w:t>表2</w:t>
            </w:r>
            <w:r>
              <w:rPr>
                <w:rFonts w:hint="default" w:ascii="Times New Roman" w:hAnsi="Times New Roman" w:eastAsia="宋体" w:cs="Times New Roman"/>
                <w:b/>
                <w:bCs/>
                <w:sz w:val="21"/>
                <w:szCs w:val="21"/>
                <w:lang w:val="en-US" w:eastAsia="zh-CN"/>
              </w:rPr>
              <w:t>-5</w:t>
            </w:r>
            <w:r>
              <w:rPr>
                <w:rFonts w:hint="default" w:ascii="Times New Roman" w:hAnsi="Times New Roman" w:eastAsia="宋体" w:cs="Times New Roman"/>
                <w:b/>
                <w:bCs/>
                <w:sz w:val="21"/>
                <w:szCs w:val="21"/>
              </w:rPr>
              <w:t xml:space="preserve"> </w:t>
            </w:r>
            <w:r>
              <w:rPr>
                <w:rFonts w:hint="default" w:ascii="Times New Roman" w:hAnsi="Times New Roman" w:eastAsia="宋体" w:cs="Times New Roman"/>
                <w:b/>
                <w:bCs/>
                <w:sz w:val="21"/>
                <w:szCs w:val="21"/>
                <w:lang w:val="en-US" w:eastAsia="zh-CN"/>
              </w:rPr>
              <w:t xml:space="preserve"> 本工程</w:t>
            </w:r>
            <w:r>
              <w:rPr>
                <w:rFonts w:hint="default" w:ascii="Times New Roman" w:hAnsi="Times New Roman" w:eastAsia="宋体" w:cs="Times New Roman"/>
                <w:b/>
                <w:bCs/>
                <w:sz w:val="21"/>
                <w:szCs w:val="21"/>
              </w:rPr>
              <w:t>占地类型及面积一览表</w:t>
            </w:r>
            <w:r>
              <w:rPr>
                <w:rFonts w:hint="default" w:ascii="Times New Roman" w:hAnsi="Times New Roman" w:eastAsia="宋体" w:cs="Times New Roman"/>
                <w:b/>
                <w:bCs/>
                <w:sz w:val="21"/>
                <w:szCs w:val="21"/>
                <w:lang w:val="en-US" w:eastAsia="zh-CN"/>
              </w:rPr>
              <w:t xml:space="preserve">        </w:t>
            </w:r>
            <w:r>
              <w:rPr>
                <w:rFonts w:hint="default" w:ascii="Times New Roman" w:hAnsi="Times New Roman" w:eastAsia="宋体" w:cs="Times New Roman"/>
                <w:b/>
                <w:bCs/>
                <w:sz w:val="21"/>
                <w:szCs w:val="21"/>
              </w:rPr>
              <w:t>单位：m</w:t>
            </w:r>
            <w:r>
              <w:rPr>
                <w:rFonts w:hint="default" w:ascii="Times New Roman" w:hAnsi="Times New Roman" w:eastAsia="宋体" w:cs="Times New Roman"/>
                <w:b/>
                <w:bCs/>
                <w:sz w:val="21"/>
                <w:szCs w:val="21"/>
                <w:vertAlign w:val="superscript"/>
              </w:rPr>
              <w:t>2</w:t>
            </w:r>
          </w:p>
          <w:tbl>
            <w:tblPr>
              <w:tblStyle w:val="11"/>
              <w:tblW w:w="8812"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755"/>
              <w:gridCol w:w="1410"/>
              <w:gridCol w:w="1573"/>
              <w:gridCol w:w="1573"/>
              <w:gridCol w:w="157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7" w:type="dxa"/>
                  <w:vMerge w:val="restart"/>
                  <w:tcBorders>
                    <w:tl2br w:val="nil"/>
                    <w:tr2bl w:val="nil"/>
                  </w:tcBorders>
                  <w:vAlign w:val="center"/>
                </w:tcPr>
                <w:p>
                  <w:pPr>
                    <w:pStyle w:val="6"/>
                    <w:widowControl w:val="0"/>
                    <w:spacing w:after="0" w:line="240" w:lineRule="auto"/>
                    <w:ind w:left="0"/>
                    <w:jc w:val="center"/>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项目区</w:t>
                  </w:r>
                </w:p>
              </w:tc>
              <w:tc>
                <w:tcPr>
                  <w:tcW w:w="1755" w:type="dxa"/>
                  <w:vMerge w:val="restart"/>
                  <w:tcBorders>
                    <w:tl2br w:val="nil"/>
                    <w:tr2bl w:val="nil"/>
                  </w:tcBorders>
                  <w:vAlign w:val="center"/>
                </w:tcPr>
                <w:p>
                  <w:pPr>
                    <w:pStyle w:val="6"/>
                    <w:widowControl w:val="0"/>
                    <w:spacing w:after="0" w:line="240" w:lineRule="auto"/>
                    <w:ind w:left="0"/>
                    <w:jc w:val="center"/>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包括</w:t>
                  </w:r>
                </w:p>
              </w:tc>
              <w:tc>
                <w:tcPr>
                  <w:tcW w:w="2983" w:type="dxa"/>
                  <w:gridSpan w:val="2"/>
                  <w:tcBorders>
                    <w:tl2br w:val="nil"/>
                    <w:tr2bl w:val="nil"/>
                  </w:tcBorders>
                  <w:vAlign w:val="center"/>
                </w:tcPr>
                <w:p>
                  <w:pPr>
                    <w:pStyle w:val="6"/>
                    <w:widowControl w:val="0"/>
                    <w:spacing w:after="0" w:line="240" w:lineRule="auto"/>
                    <w:ind w:left="0"/>
                    <w:jc w:val="center"/>
                    <w:rPr>
                      <w:rFonts w:hint="default" w:ascii="Times New Roman" w:hAnsi="Times New Roman" w:eastAsia="宋体" w:cs="Times New Roman"/>
                      <w:sz w:val="21"/>
                      <w:szCs w:val="21"/>
                      <w:vertAlign w:val="baseline"/>
                    </w:rPr>
                  </w:pPr>
                  <w:r>
                    <w:rPr>
                      <w:rFonts w:hint="eastAsia" w:ascii="Times New Roman" w:hAnsi="Times New Roman" w:eastAsia="宋体" w:cs="Times New Roman"/>
                      <w:sz w:val="21"/>
                      <w:szCs w:val="21"/>
                      <w:vertAlign w:val="baseline"/>
                      <w:lang w:val="en-US" w:eastAsia="zh-CN"/>
                    </w:rPr>
                    <w:t>环评阶段</w:t>
                  </w:r>
                </w:p>
              </w:tc>
              <w:tc>
                <w:tcPr>
                  <w:tcW w:w="3147" w:type="dxa"/>
                  <w:gridSpan w:val="2"/>
                  <w:tcBorders>
                    <w:tl2br w:val="nil"/>
                    <w:tr2bl w:val="nil"/>
                  </w:tcBorders>
                  <w:vAlign w:val="center"/>
                </w:tcPr>
                <w:p>
                  <w:pPr>
                    <w:pStyle w:val="6"/>
                    <w:widowControl w:val="0"/>
                    <w:spacing w:after="0" w:line="240" w:lineRule="auto"/>
                    <w:ind w:left="0"/>
                    <w:jc w:val="center"/>
                    <w:rPr>
                      <w:rFonts w:hint="default" w:ascii="Times New Roman" w:hAnsi="Times New Roman" w:eastAsia="宋体" w:cs="Times New Roman"/>
                      <w:sz w:val="21"/>
                      <w:szCs w:val="21"/>
                      <w:vertAlign w:val="baseline"/>
                    </w:rPr>
                  </w:pPr>
                  <w:r>
                    <w:rPr>
                      <w:rFonts w:hint="eastAsia" w:ascii="Times New Roman" w:hAnsi="Times New Roman" w:eastAsia="宋体" w:cs="Times New Roman"/>
                      <w:sz w:val="21"/>
                      <w:szCs w:val="21"/>
                      <w:vertAlign w:val="baseline"/>
                      <w:lang w:val="en-US" w:eastAsia="zh-CN"/>
                    </w:rPr>
                    <w:t>实际建设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7" w:type="dxa"/>
                  <w:vMerge w:val="continue"/>
                  <w:tcBorders>
                    <w:tl2br w:val="nil"/>
                    <w:tr2bl w:val="nil"/>
                  </w:tcBorders>
                  <w:vAlign w:val="center"/>
                </w:tcPr>
                <w:p>
                  <w:pPr>
                    <w:pStyle w:val="6"/>
                    <w:widowControl w:val="0"/>
                    <w:spacing w:after="0" w:line="240" w:lineRule="auto"/>
                    <w:ind w:left="0"/>
                    <w:jc w:val="center"/>
                    <w:rPr>
                      <w:rFonts w:hint="eastAsia" w:ascii="Times New Roman" w:hAnsi="Times New Roman" w:eastAsia="宋体" w:cs="Times New Roman"/>
                      <w:sz w:val="21"/>
                      <w:szCs w:val="21"/>
                      <w:vertAlign w:val="baseline"/>
                      <w:lang w:val="en-US" w:eastAsia="zh-CN"/>
                    </w:rPr>
                  </w:pPr>
                </w:p>
              </w:tc>
              <w:tc>
                <w:tcPr>
                  <w:tcW w:w="1755" w:type="dxa"/>
                  <w:vMerge w:val="continue"/>
                  <w:tcBorders>
                    <w:tl2br w:val="nil"/>
                    <w:tr2bl w:val="nil"/>
                  </w:tcBorders>
                  <w:vAlign w:val="center"/>
                </w:tcPr>
                <w:p>
                  <w:pPr>
                    <w:pStyle w:val="6"/>
                    <w:widowControl w:val="0"/>
                    <w:spacing w:after="0" w:line="240" w:lineRule="auto"/>
                    <w:ind w:left="0"/>
                    <w:jc w:val="center"/>
                    <w:rPr>
                      <w:rFonts w:hint="eastAsia" w:ascii="Times New Roman" w:hAnsi="Times New Roman" w:eastAsia="宋体" w:cs="Times New Roman"/>
                      <w:sz w:val="21"/>
                      <w:szCs w:val="21"/>
                      <w:vertAlign w:val="baseline"/>
                      <w:lang w:val="en-US" w:eastAsia="zh-CN"/>
                    </w:rPr>
                  </w:pPr>
                </w:p>
              </w:tc>
              <w:tc>
                <w:tcPr>
                  <w:tcW w:w="1410" w:type="dxa"/>
                  <w:tcBorders>
                    <w:tl2br w:val="nil"/>
                    <w:tr2bl w:val="nil"/>
                  </w:tcBorders>
                  <w:vAlign w:val="center"/>
                </w:tcPr>
                <w:p>
                  <w:pPr>
                    <w:pStyle w:val="6"/>
                    <w:widowControl w:val="0"/>
                    <w:spacing w:after="0" w:line="240" w:lineRule="auto"/>
                    <w:ind w:left="0"/>
                    <w:jc w:val="center"/>
                    <w:rPr>
                      <w:rFonts w:hint="default" w:ascii="Times New Roman" w:hAnsi="Times New Roman" w:eastAsia="宋体" w:cs="Times New Roman"/>
                      <w:sz w:val="21"/>
                      <w:szCs w:val="21"/>
                      <w:vertAlign w:val="baseline"/>
                    </w:rPr>
                  </w:pPr>
                  <w:r>
                    <w:rPr>
                      <w:rFonts w:hint="eastAsia" w:ascii="Times New Roman" w:hAnsi="Times New Roman" w:eastAsia="宋体" w:cs="Times New Roman"/>
                      <w:sz w:val="21"/>
                      <w:szCs w:val="21"/>
                      <w:vertAlign w:val="baseline"/>
                      <w:lang w:val="en-US" w:eastAsia="zh-CN"/>
                    </w:rPr>
                    <w:t>占地面积</w:t>
                  </w:r>
                </w:p>
              </w:tc>
              <w:tc>
                <w:tcPr>
                  <w:tcW w:w="1573" w:type="dxa"/>
                  <w:tcBorders>
                    <w:tl2br w:val="nil"/>
                    <w:tr2bl w:val="nil"/>
                  </w:tcBorders>
                  <w:vAlign w:val="center"/>
                </w:tcPr>
                <w:p>
                  <w:pPr>
                    <w:pStyle w:val="6"/>
                    <w:widowControl w:val="0"/>
                    <w:spacing w:after="0" w:line="240" w:lineRule="auto"/>
                    <w:ind w:left="0"/>
                    <w:jc w:val="center"/>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占地类型</w:t>
                  </w:r>
                </w:p>
              </w:tc>
              <w:tc>
                <w:tcPr>
                  <w:tcW w:w="1573" w:type="dxa"/>
                  <w:tcBorders>
                    <w:tl2br w:val="nil"/>
                    <w:tr2bl w:val="nil"/>
                  </w:tcBorders>
                  <w:vAlign w:val="center"/>
                </w:tcPr>
                <w:p>
                  <w:pPr>
                    <w:pStyle w:val="6"/>
                    <w:widowControl w:val="0"/>
                    <w:spacing w:after="0" w:line="240" w:lineRule="auto"/>
                    <w:ind w:left="0" w:leftChars="0"/>
                    <w:jc w:val="center"/>
                    <w:rPr>
                      <w:rFonts w:hint="default" w:ascii="Times New Roman" w:hAnsi="Times New Roman" w:eastAsia="宋体" w:cs="Times New Roman"/>
                      <w:sz w:val="21"/>
                      <w:szCs w:val="21"/>
                      <w:vertAlign w:val="baseline"/>
                      <w:lang w:val="en-US" w:eastAsia="zh-CN" w:bidi="ar-SA"/>
                    </w:rPr>
                  </w:pPr>
                  <w:r>
                    <w:rPr>
                      <w:rFonts w:hint="eastAsia" w:ascii="Times New Roman" w:hAnsi="Times New Roman" w:eastAsia="宋体" w:cs="Times New Roman"/>
                      <w:sz w:val="21"/>
                      <w:szCs w:val="21"/>
                      <w:vertAlign w:val="baseline"/>
                      <w:lang w:val="en-US" w:eastAsia="zh-CN"/>
                    </w:rPr>
                    <w:t>占地面积</w:t>
                  </w:r>
                </w:p>
              </w:tc>
              <w:tc>
                <w:tcPr>
                  <w:tcW w:w="1574" w:type="dxa"/>
                  <w:tcBorders>
                    <w:tl2br w:val="nil"/>
                    <w:tr2bl w:val="nil"/>
                  </w:tcBorders>
                  <w:vAlign w:val="center"/>
                </w:tcPr>
                <w:p>
                  <w:pPr>
                    <w:pStyle w:val="6"/>
                    <w:widowControl w:val="0"/>
                    <w:spacing w:after="0" w:line="240" w:lineRule="auto"/>
                    <w:ind w:left="0" w:leftChars="0"/>
                    <w:jc w:val="center"/>
                    <w:rPr>
                      <w:rFonts w:hint="default" w:ascii="Times New Roman" w:hAnsi="Times New Roman" w:eastAsia="宋体" w:cs="Times New Roman"/>
                      <w:sz w:val="21"/>
                      <w:szCs w:val="21"/>
                      <w:vertAlign w:val="baseline"/>
                      <w:lang w:val="en-US" w:eastAsia="zh-CN" w:bidi="ar-SA"/>
                    </w:rPr>
                  </w:pPr>
                  <w:r>
                    <w:rPr>
                      <w:rFonts w:hint="eastAsia" w:ascii="Times New Roman" w:hAnsi="Times New Roman" w:eastAsia="宋体" w:cs="Times New Roman"/>
                      <w:sz w:val="21"/>
                      <w:szCs w:val="21"/>
                      <w:vertAlign w:val="baseline"/>
                      <w:lang w:val="en-US" w:eastAsia="zh-CN"/>
                    </w:rPr>
                    <w:t>占地类型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7" w:type="dxa"/>
                  <w:vMerge w:val="restart"/>
                  <w:tcBorders>
                    <w:tl2br w:val="nil"/>
                    <w:tr2bl w:val="nil"/>
                  </w:tcBorders>
                  <w:vAlign w:val="center"/>
                </w:tcPr>
                <w:p>
                  <w:pPr>
                    <w:pStyle w:val="6"/>
                    <w:widowControl w:val="0"/>
                    <w:spacing w:after="0" w:line="240" w:lineRule="auto"/>
                    <w:ind w:left="0" w:leftChars="0"/>
                    <w:jc w:val="center"/>
                    <w:rPr>
                      <w:rFonts w:hint="default" w:ascii="Times New Roman" w:hAnsi="Times New Roman" w:eastAsia="宋体" w:cs="Times New Roman"/>
                      <w:sz w:val="21"/>
                      <w:szCs w:val="21"/>
                      <w:vertAlign w:val="baseline"/>
                      <w:lang w:val="en-US" w:eastAsia="zh-CN" w:bidi="ar-SA"/>
                    </w:rPr>
                  </w:pPr>
                  <w:r>
                    <w:rPr>
                      <w:rFonts w:hint="eastAsia" w:ascii="Times New Roman" w:hAnsi="Times New Roman" w:eastAsia="宋体" w:cs="Times New Roman"/>
                      <w:sz w:val="21"/>
                      <w:szCs w:val="21"/>
                      <w:vertAlign w:val="baseline"/>
                      <w:lang w:val="en-US" w:eastAsia="zh-CN"/>
                    </w:rPr>
                    <w:t>永久占地</w:t>
                  </w:r>
                </w:p>
              </w:tc>
              <w:tc>
                <w:tcPr>
                  <w:tcW w:w="1755" w:type="dxa"/>
                  <w:tcBorders>
                    <w:tl2br w:val="nil"/>
                    <w:tr2bl w:val="nil"/>
                  </w:tcBorders>
                  <w:vAlign w:val="center"/>
                </w:tcPr>
                <w:p>
                  <w:pPr>
                    <w:pStyle w:val="6"/>
                    <w:widowControl w:val="0"/>
                    <w:spacing w:after="0" w:line="240" w:lineRule="auto"/>
                    <w:ind w:left="0" w:leftChars="0"/>
                    <w:jc w:val="center"/>
                    <w:rPr>
                      <w:rFonts w:hint="default" w:ascii="Times New Roman" w:hAnsi="Times New Roman" w:eastAsia="宋体" w:cs="Times New Roman"/>
                      <w:sz w:val="21"/>
                      <w:szCs w:val="21"/>
                      <w:vertAlign w:val="baseline"/>
                      <w:lang w:val="en-US" w:eastAsia="zh-CN" w:bidi="ar-SA"/>
                    </w:rPr>
                  </w:pPr>
                  <w:r>
                    <w:rPr>
                      <w:rFonts w:hint="eastAsia" w:ascii="Times New Roman" w:hAnsi="Times New Roman" w:eastAsia="宋体" w:cs="Times New Roman"/>
                      <w:sz w:val="21"/>
                      <w:szCs w:val="21"/>
                      <w:vertAlign w:val="baseline"/>
                      <w:lang w:val="en-US" w:eastAsia="zh-CN" w:bidi="ar-SA"/>
                    </w:rPr>
                    <w:t>水厂</w:t>
                  </w:r>
                  <w:r>
                    <w:rPr>
                      <w:rFonts w:hint="default" w:ascii="Times New Roman" w:hAnsi="Times New Roman" w:eastAsia="宋体" w:cs="Times New Roman"/>
                      <w:sz w:val="21"/>
                      <w:szCs w:val="21"/>
                      <w:vertAlign w:val="baseline"/>
                      <w:lang w:val="en-US" w:eastAsia="zh-CN" w:bidi="ar-SA"/>
                    </w:rPr>
                    <w:t>建筑物用地</w:t>
                  </w:r>
                </w:p>
              </w:tc>
              <w:tc>
                <w:tcPr>
                  <w:tcW w:w="1410" w:type="dxa"/>
                  <w:tcBorders>
                    <w:tl2br w:val="nil"/>
                    <w:tr2bl w:val="nil"/>
                  </w:tcBorders>
                  <w:vAlign w:val="center"/>
                </w:tcPr>
                <w:p>
                  <w:pPr>
                    <w:pStyle w:val="6"/>
                    <w:widowControl w:val="0"/>
                    <w:spacing w:after="0" w:line="240" w:lineRule="auto"/>
                    <w:ind w:left="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221.8</w:t>
                  </w:r>
                </w:p>
              </w:tc>
              <w:tc>
                <w:tcPr>
                  <w:tcW w:w="1573" w:type="dxa"/>
                  <w:tcBorders>
                    <w:tl2br w:val="nil"/>
                    <w:tr2bl w:val="nil"/>
                  </w:tcBorders>
                  <w:vAlign w:val="center"/>
                </w:tcPr>
                <w:p>
                  <w:pPr>
                    <w:pStyle w:val="6"/>
                    <w:widowControl w:val="0"/>
                    <w:spacing w:after="0" w:line="240" w:lineRule="auto"/>
                    <w:ind w:left="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荒地</w:t>
                  </w:r>
                </w:p>
              </w:tc>
              <w:tc>
                <w:tcPr>
                  <w:tcW w:w="1573" w:type="dxa"/>
                  <w:tcBorders>
                    <w:tl2br w:val="nil"/>
                    <w:tr2bl w:val="nil"/>
                  </w:tcBorders>
                  <w:vAlign w:val="center"/>
                </w:tcPr>
                <w:p>
                  <w:pPr>
                    <w:pStyle w:val="6"/>
                    <w:widowControl w:val="0"/>
                    <w:spacing w:after="0" w:line="240" w:lineRule="auto"/>
                    <w:ind w:left="0" w:leftChars="0"/>
                    <w:jc w:val="center"/>
                    <w:rPr>
                      <w:rFonts w:hint="default" w:ascii="Times New Roman" w:hAnsi="Times New Roman" w:eastAsia="宋体" w:cs="Times New Roman"/>
                      <w:sz w:val="21"/>
                      <w:szCs w:val="21"/>
                      <w:vertAlign w:val="baseline"/>
                    </w:rPr>
                  </w:pPr>
                  <w:r>
                    <w:rPr>
                      <w:rFonts w:hint="eastAsia" w:ascii="Times New Roman" w:hAnsi="Times New Roman" w:eastAsia="宋体" w:cs="Times New Roman"/>
                      <w:sz w:val="21"/>
                      <w:szCs w:val="21"/>
                      <w:vertAlign w:val="baseline"/>
                      <w:lang w:val="en-US" w:eastAsia="zh-CN"/>
                    </w:rPr>
                    <w:t>221.8</w:t>
                  </w:r>
                </w:p>
              </w:tc>
              <w:tc>
                <w:tcPr>
                  <w:tcW w:w="1574" w:type="dxa"/>
                  <w:tcBorders>
                    <w:tl2br w:val="nil"/>
                    <w:tr2bl w:val="nil"/>
                  </w:tcBorders>
                  <w:vAlign w:val="center"/>
                </w:tcPr>
                <w:p>
                  <w:pPr>
                    <w:pStyle w:val="6"/>
                    <w:widowControl w:val="0"/>
                    <w:spacing w:after="0" w:line="240" w:lineRule="auto"/>
                    <w:ind w:left="0" w:leftChars="0"/>
                    <w:jc w:val="center"/>
                    <w:rPr>
                      <w:rFonts w:hint="default" w:ascii="Times New Roman" w:hAnsi="Times New Roman" w:eastAsia="宋体" w:cs="Times New Roman"/>
                      <w:sz w:val="21"/>
                      <w:szCs w:val="21"/>
                      <w:vertAlign w:val="baseline"/>
                    </w:rPr>
                  </w:pPr>
                  <w:r>
                    <w:rPr>
                      <w:rFonts w:hint="eastAsia" w:ascii="Times New Roman" w:hAnsi="Times New Roman" w:eastAsia="宋体" w:cs="Times New Roman"/>
                      <w:sz w:val="21"/>
                      <w:szCs w:val="21"/>
                      <w:vertAlign w:val="baseline"/>
                      <w:lang w:val="en-US" w:eastAsia="zh-CN"/>
                    </w:rPr>
                    <w:t>荒地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7" w:type="dxa"/>
                  <w:vMerge w:val="continue"/>
                  <w:tcBorders>
                    <w:tl2br w:val="nil"/>
                    <w:tr2bl w:val="nil"/>
                  </w:tcBorders>
                  <w:vAlign w:val="center"/>
                </w:tcPr>
                <w:p>
                  <w:pPr>
                    <w:pStyle w:val="6"/>
                    <w:widowControl w:val="0"/>
                    <w:spacing w:after="0" w:line="240" w:lineRule="auto"/>
                    <w:ind w:left="0"/>
                    <w:jc w:val="center"/>
                    <w:rPr>
                      <w:rFonts w:hint="default" w:ascii="Times New Roman" w:hAnsi="Times New Roman" w:eastAsia="宋体" w:cs="Times New Roman"/>
                      <w:sz w:val="21"/>
                      <w:szCs w:val="21"/>
                      <w:vertAlign w:val="baseline"/>
                    </w:rPr>
                  </w:pPr>
                </w:p>
              </w:tc>
              <w:tc>
                <w:tcPr>
                  <w:tcW w:w="1755" w:type="dxa"/>
                  <w:tcBorders>
                    <w:tl2br w:val="nil"/>
                    <w:tr2bl w:val="nil"/>
                  </w:tcBorders>
                  <w:vAlign w:val="center"/>
                </w:tcPr>
                <w:p>
                  <w:pPr>
                    <w:pStyle w:val="6"/>
                    <w:widowControl w:val="0"/>
                    <w:spacing w:after="0" w:line="240" w:lineRule="auto"/>
                    <w:ind w:left="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绿化用地</w:t>
                  </w:r>
                </w:p>
              </w:tc>
              <w:tc>
                <w:tcPr>
                  <w:tcW w:w="1410" w:type="dxa"/>
                  <w:tcBorders>
                    <w:tl2br w:val="nil"/>
                    <w:tr2bl w:val="nil"/>
                  </w:tcBorders>
                  <w:vAlign w:val="center"/>
                </w:tcPr>
                <w:p>
                  <w:pPr>
                    <w:pStyle w:val="6"/>
                    <w:widowControl w:val="0"/>
                    <w:spacing w:after="0" w:line="240" w:lineRule="auto"/>
                    <w:ind w:left="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119</w:t>
                  </w:r>
                </w:p>
              </w:tc>
              <w:tc>
                <w:tcPr>
                  <w:tcW w:w="1573" w:type="dxa"/>
                  <w:tcBorders>
                    <w:tl2br w:val="nil"/>
                    <w:tr2bl w:val="nil"/>
                  </w:tcBorders>
                  <w:vAlign w:val="center"/>
                </w:tcPr>
                <w:p>
                  <w:pPr>
                    <w:widowControl w:val="0"/>
                    <w:spacing w:after="0" w:line="240" w:lineRule="auto"/>
                    <w:ind w:left="0"/>
                    <w:jc w:val="center"/>
                    <w:rPr>
                      <w:rFonts w:hint="default" w:ascii="Times New Roman" w:hAnsi="Times New Roman" w:eastAsia="宋体" w:cs="Times New Roman"/>
                      <w:sz w:val="21"/>
                      <w:szCs w:val="21"/>
                      <w:vertAlign w:val="baseline"/>
                    </w:rPr>
                  </w:pPr>
                  <w:r>
                    <w:rPr>
                      <w:rFonts w:hint="eastAsia" w:ascii="Times New Roman" w:hAnsi="Times New Roman" w:eastAsia="宋体" w:cs="Times New Roman"/>
                      <w:sz w:val="21"/>
                      <w:szCs w:val="21"/>
                      <w:vertAlign w:val="baseline"/>
                      <w:lang w:val="en-US" w:eastAsia="zh-CN"/>
                    </w:rPr>
                    <w:t>荒地</w:t>
                  </w:r>
                </w:p>
              </w:tc>
              <w:tc>
                <w:tcPr>
                  <w:tcW w:w="1573" w:type="dxa"/>
                  <w:tcBorders>
                    <w:tl2br w:val="nil"/>
                    <w:tr2bl w:val="nil"/>
                  </w:tcBorders>
                  <w:vAlign w:val="center"/>
                </w:tcPr>
                <w:p>
                  <w:pPr>
                    <w:pStyle w:val="6"/>
                    <w:widowControl w:val="0"/>
                    <w:spacing w:after="0" w:line="240" w:lineRule="auto"/>
                    <w:ind w:left="0" w:leftChars="0"/>
                    <w:jc w:val="center"/>
                    <w:rPr>
                      <w:rFonts w:hint="default" w:ascii="Times New Roman" w:hAnsi="Times New Roman" w:eastAsia="宋体" w:cs="Times New Roman"/>
                      <w:sz w:val="21"/>
                      <w:szCs w:val="21"/>
                      <w:vertAlign w:val="baseline"/>
                    </w:rPr>
                  </w:pPr>
                  <w:r>
                    <w:rPr>
                      <w:rFonts w:hint="eastAsia" w:ascii="Times New Roman" w:hAnsi="Times New Roman" w:eastAsia="宋体" w:cs="Times New Roman"/>
                      <w:sz w:val="21"/>
                      <w:szCs w:val="21"/>
                      <w:vertAlign w:val="baseline"/>
                      <w:lang w:val="en-US" w:eastAsia="zh-CN"/>
                    </w:rPr>
                    <w:t>119</w:t>
                  </w:r>
                </w:p>
              </w:tc>
              <w:tc>
                <w:tcPr>
                  <w:tcW w:w="1574" w:type="dxa"/>
                  <w:tcBorders>
                    <w:tl2br w:val="nil"/>
                    <w:tr2bl w:val="nil"/>
                  </w:tcBorders>
                  <w:vAlign w:val="center"/>
                </w:tcPr>
                <w:p>
                  <w:pPr>
                    <w:widowControl w:val="0"/>
                    <w:spacing w:after="0" w:line="240" w:lineRule="auto"/>
                    <w:ind w:left="0" w:leftChars="0"/>
                    <w:jc w:val="center"/>
                    <w:rPr>
                      <w:rFonts w:hint="default" w:ascii="Times New Roman" w:hAnsi="Times New Roman" w:eastAsia="宋体" w:cs="Times New Roman"/>
                      <w:sz w:val="21"/>
                      <w:szCs w:val="21"/>
                      <w:vertAlign w:val="baseline"/>
                    </w:rPr>
                  </w:pPr>
                  <w:r>
                    <w:rPr>
                      <w:rFonts w:hint="eastAsia" w:ascii="Times New Roman" w:hAnsi="Times New Roman" w:eastAsia="宋体" w:cs="Times New Roman"/>
                      <w:sz w:val="21"/>
                      <w:szCs w:val="21"/>
                      <w:vertAlign w:val="baseline"/>
                      <w:lang w:val="en-US" w:eastAsia="zh-CN"/>
                    </w:rPr>
                    <w:t>荒地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7" w:type="dxa"/>
                  <w:vMerge w:val="continue"/>
                  <w:tcBorders>
                    <w:tl2br w:val="nil"/>
                    <w:tr2bl w:val="nil"/>
                  </w:tcBorders>
                  <w:vAlign w:val="center"/>
                </w:tcPr>
                <w:p>
                  <w:pPr>
                    <w:pStyle w:val="6"/>
                    <w:widowControl w:val="0"/>
                    <w:spacing w:after="0" w:line="240" w:lineRule="auto"/>
                    <w:ind w:left="0"/>
                    <w:jc w:val="center"/>
                    <w:rPr>
                      <w:rFonts w:hint="default" w:ascii="Times New Roman" w:hAnsi="Times New Roman" w:eastAsia="宋体" w:cs="Times New Roman"/>
                      <w:sz w:val="21"/>
                      <w:szCs w:val="21"/>
                      <w:vertAlign w:val="baseline"/>
                    </w:rPr>
                  </w:pPr>
                </w:p>
              </w:tc>
              <w:tc>
                <w:tcPr>
                  <w:tcW w:w="1755" w:type="dxa"/>
                  <w:tcBorders>
                    <w:tl2br w:val="nil"/>
                    <w:tr2bl w:val="nil"/>
                  </w:tcBorders>
                  <w:vAlign w:val="center"/>
                </w:tcPr>
                <w:p>
                  <w:pPr>
                    <w:pStyle w:val="6"/>
                    <w:widowControl w:val="0"/>
                    <w:spacing w:after="0" w:line="240" w:lineRule="auto"/>
                    <w:ind w:left="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地坪用地</w:t>
                  </w:r>
                </w:p>
              </w:tc>
              <w:tc>
                <w:tcPr>
                  <w:tcW w:w="1410" w:type="dxa"/>
                  <w:tcBorders>
                    <w:tl2br w:val="nil"/>
                    <w:tr2bl w:val="nil"/>
                  </w:tcBorders>
                  <w:vAlign w:val="center"/>
                </w:tcPr>
                <w:p>
                  <w:pPr>
                    <w:pStyle w:val="6"/>
                    <w:widowControl w:val="0"/>
                    <w:spacing w:after="0" w:line="240" w:lineRule="auto"/>
                    <w:ind w:left="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208.6</w:t>
                  </w:r>
                </w:p>
              </w:tc>
              <w:tc>
                <w:tcPr>
                  <w:tcW w:w="1573" w:type="dxa"/>
                  <w:tcBorders>
                    <w:tl2br w:val="nil"/>
                    <w:tr2bl w:val="nil"/>
                  </w:tcBorders>
                  <w:vAlign w:val="center"/>
                </w:tcPr>
                <w:p>
                  <w:pPr>
                    <w:widowControl w:val="0"/>
                    <w:spacing w:after="0" w:line="240" w:lineRule="auto"/>
                    <w:ind w:left="0"/>
                    <w:jc w:val="center"/>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荒地</w:t>
                  </w:r>
                </w:p>
              </w:tc>
              <w:tc>
                <w:tcPr>
                  <w:tcW w:w="1573" w:type="dxa"/>
                  <w:tcBorders>
                    <w:tl2br w:val="nil"/>
                    <w:tr2bl w:val="nil"/>
                  </w:tcBorders>
                  <w:vAlign w:val="center"/>
                </w:tcPr>
                <w:p>
                  <w:pPr>
                    <w:pStyle w:val="6"/>
                    <w:widowControl w:val="0"/>
                    <w:spacing w:after="0" w:line="240" w:lineRule="auto"/>
                    <w:ind w:left="0" w:leftChars="0"/>
                    <w:jc w:val="center"/>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208.6</w:t>
                  </w:r>
                </w:p>
              </w:tc>
              <w:tc>
                <w:tcPr>
                  <w:tcW w:w="1574" w:type="dxa"/>
                  <w:tcBorders>
                    <w:tl2br w:val="nil"/>
                    <w:tr2bl w:val="nil"/>
                  </w:tcBorders>
                  <w:vAlign w:val="center"/>
                </w:tcPr>
                <w:p>
                  <w:pPr>
                    <w:widowControl w:val="0"/>
                    <w:spacing w:after="0" w:line="240" w:lineRule="auto"/>
                    <w:ind w:left="0" w:leftChars="0"/>
                    <w:jc w:val="center"/>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荒地</w:t>
                  </w:r>
                </w:p>
              </w:tc>
            </w:tr>
          </w:tbl>
          <w:p>
            <w:pPr>
              <w:keepNext w:val="0"/>
              <w:keepLines w:val="0"/>
              <w:pageBreakBefore w:val="0"/>
              <w:widowControl/>
              <w:kinsoku/>
              <w:wordWrap/>
              <w:overflowPunct/>
              <w:topLinePunct w:val="0"/>
              <w:autoSpaceDE/>
              <w:autoSpaceDN/>
              <w:bidi w:val="0"/>
              <w:adjustRightInd w:val="0"/>
              <w:snapToGrid w:val="0"/>
              <w:spacing w:before="181" w:beforeLines="50" w:after="0" w:afterLines="0" w:line="360" w:lineRule="auto"/>
              <w:jc w:val="both"/>
              <w:textAlignment w:val="auto"/>
              <w:rPr>
                <w:rFonts w:hint="default" w:ascii="Times New Roman" w:hAnsi="Times New Roman" w:eastAsia="楷体" w:cs="Times New Roman"/>
                <w:b/>
                <w:bCs/>
                <w:color w:val="000000"/>
                <w:sz w:val="28"/>
                <w:szCs w:val="28"/>
              </w:rPr>
            </w:pPr>
            <w:r>
              <w:rPr>
                <w:rFonts w:hint="default" w:ascii="Times New Roman" w:hAnsi="Times New Roman" w:eastAsia="楷体" w:cs="Times New Roman"/>
                <w:b/>
                <w:bCs/>
                <w:color w:val="000000"/>
                <w:sz w:val="28"/>
                <w:szCs w:val="28"/>
              </w:rPr>
              <w:t>2.</w:t>
            </w:r>
            <w:r>
              <w:rPr>
                <w:rFonts w:hint="eastAsia" w:ascii="Times New Roman" w:hAnsi="Times New Roman" w:eastAsia="楷体" w:cs="Times New Roman"/>
                <w:b/>
                <w:bCs/>
                <w:color w:val="000000"/>
                <w:sz w:val="28"/>
                <w:szCs w:val="28"/>
                <w:lang w:val="en-US" w:eastAsia="zh-CN"/>
              </w:rPr>
              <w:t>8</w:t>
            </w:r>
            <w:r>
              <w:rPr>
                <w:rFonts w:hint="default" w:ascii="Times New Roman" w:hAnsi="Times New Roman" w:eastAsia="楷体" w:cs="Times New Roman"/>
                <w:b/>
                <w:bCs/>
                <w:color w:val="000000"/>
                <w:sz w:val="28"/>
                <w:szCs w:val="28"/>
              </w:rPr>
              <w:t xml:space="preserve"> 劳动定员</w:t>
            </w:r>
          </w:p>
          <w:p>
            <w:pPr>
              <w:pStyle w:val="5"/>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根据现场勘查，措周乡</w:t>
            </w:r>
            <w:r>
              <w:rPr>
                <w:rFonts w:hint="default" w:ascii="Times New Roman" w:hAnsi="Times New Roman" w:eastAsia="宋体" w:cs="Times New Roman"/>
                <w:sz w:val="24"/>
                <w:szCs w:val="24"/>
              </w:rPr>
              <w:t>水厂设</w:t>
            </w:r>
            <w:r>
              <w:rPr>
                <w:rFonts w:hint="eastAsia"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人常驻，负责日常管理。</w:t>
            </w:r>
          </w:p>
          <w:p>
            <w:pPr>
              <w:keepNext w:val="0"/>
              <w:keepLines w:val="0"/>
              <w:pageBreakBefore w:val="0"/>
              <w:widowControl/>
              <w:kinsoku/>
              <w:wordWrap/>
              <w:overflowPunct/>
              <w:topLinePunct w:val="0"/>
              <w:autoSpaceDE/>
              <w:autoSpaceDN/>
              <w:bidi w:val="0"/>
              <w:adjustRightInd w:val="0"/>
              <w:snapToGrid w:val="0"/>
              <w:spacing w:after="0" w:afterLines="0" w:line="360" w:lineRule="auto"/>
              <w:jc w:val="both"/>
              <w:textAlignment w:val="auto"/>
              <w:rPr>
                <w:rFonts w:hint="default" w:ascii="Times New Roman" w:hAnsi="Times New Roman" w:eastAsia="楷体" w:cs="Times New Roman"/>
                <w:b/>
                <w:bCs/>
                <w:color w:val="000000"/>
                <w:sz w:val="28"/>
                <w:szCs w:val="28"/>
              </w:rPr>
            </w:pPr>
            <w:r>
              <w:rPr>
                <w:rFonts w:hint="default" w:ascii="Times New Roman" w:hAnsi="Times New Roman" w:eastAsia="楷体" w:cs="Times New Roman"/>
                <w:b/>
                <w:bCs/>
                <w:color w:val="000000"/>
                <w:sz w:val="28"/>
                <w:szCs w:val="28"/>
              </w:rPr>
              <w:t>2.</w:t>
            </w:r>
            <w:r>
              <w:rPr>
                <w:rFonts w:hint="eastAsia" w:ascii="Times New Roman" w:hAnsi="Times New Roman" w:eastAsia="楷体" w:cs="Times New Roman"/>
                <w:b/>
                <w:bCs/>
                <w:color w:val="000000"/>
                <w:sz w:val="28"/>
                <w:szCs w:val="28"/>
                <w:lang w:val="en-US" w:eastAsia="zh-CN"/>
              </w:rPr>
              <w:t xml:space="preserve">9 </w:t>
            </w:r>
            <w:r>
              <w:rPr>
                <w:rFonts w:hint="default" w:ascii="Times New Roman" w:hAnsi="Times New Roman" w:eastAsia="楷体" w:cs="Times New Roman"/>
                <w:b/>
                <w:bCs/>
                <w:color w:val="000000"/>
                <w:sz w:val="28"/>
                <w:szCs w:val="28"/>
              </w:rPr>
              <w:t>项目变动情况</w:t>
            </w:r>
          </w:p>
          <w:p>
            <w:pPr>
              <w:pStyle w:val="5"/>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本项目实际建设情况与环评阶段工程变化情况对照《污染影响类建设项目重大变动清单（试行）》的通知（环办环评函〔2020〕688号），判定重大变动核查情况详见下表。</w:t>
            </w:r>
          </w:p>
          <w:p>
            <w:pPr>
              <w:pStyle w:val="18"/>
              <w:adjustRightInd/>
              <w:snapToGrid/>
              <w:spacing w:before="0" w:beforeLines="0" w:line="240" w:lineRule="auto"/>
              <w:contextualSpacing/>
              <w:rPr>
                <w:rFonts w:hint="eastAsia" w:ascii="Times New Roman" w:hAnsi="Times New Roman" w:eastAsia="宋体" w:cs="Times New Roman"/>
                <w:b/>
                <w:bCs w:val="0"/>
                <w:color w:val="auto"/>
                <w:highlight w:val="none"/>
              </w:rPr>
            </w:pPr>
            <w:r>
              <w:rPr>
                <w:rFonts w:hint="eastAsia" w:ascii="Times New Roman" w:hAnsi="Times New Roman" w:eastAsia="宋体" w:cs="Times New Roman"/>
                <w:b/>
                <w:bCs w:val="0"/>
                <w:color w:val="auto"/>
                <w:highlight w:val="none"/>
                <w:lang w:val="en-US" w:eastAsia="zh-CN"/>
              </w:rPr>
              <w:t>表 2-5 重大变动清单对照情况表</w:t>
            </w:r>
          </w:p>
          <w:tbl>
            <w:tblPr>
              <w:tblStyle w:val="11"/>
              <w:tblW w:w="8938" w:type="dxa"/>
              <w:tblInd w:w="-62"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20"/>
              <w:gridCol w:w="4446"/>
              <w:gridCol w:w="2800"/>
              <w:gridCol w:w="127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866"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b/>
                      <w:bCs/>
                      <w:color w:val="auto"/>
                      <w:kern w:val="0"/>
                      <w:sz w:val="21"/>
                      <w:szCs w:val="21"/>
                      <w:highlight w:val="none"/>
                      <w:lang w:val="en-US" w:eastAsia="zh-CN" w:bidi="ar"/>
                    </w:rPr>
                    <w:t>重大变动清单内容</w:t>
                  </w:r>
                </w:p>
              </w:tc>
              <w:tc>
                <w:tcPr>
                  <w:tcW w:w="2800"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b/>
                      <w:bCs/>
                      <w:color w:val="auto"/>
                      <w:kern w:val="0"/>
                      <w:sz w:val="21"/>
                      <w:szCs w:val="21"/>
                      <w:highlight w:val="none"/>
                      <w:lang w:val="en-US" w:eastAsia="zh-CN" w:bidi="ar"/>
                    </w:rPr>
                    <w:t>实际工程变化情况</w:t>
                  </w:r>
                </w:p>
              </w:tc>
              <w:tc>
                <w:tcPr>
                  <w:tcW w:w="127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b/>
                      <w:bCs/>
                      <w:color w:val="auto"/>
                      <w:kern w:val="0"/>
                      <w:sz w:val="21"/>
                      <w:szCs w:val="21"/>
                      <w:highlight w:val="none"/>
                      <w:lang w:val="en-US" w:eastAsia="zh-CN" w:bidi="ar"/>
                    </w:rPr>
                    <w:t>是否属于重大变动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20"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性质</w:t>
                  </w:r>
                </w:p>
              </w:tc>
              <w:tc>
                <w:tcPr>
                  <w:tcW w:w="4446"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1.建设项目开发、使用功能发生变化的。</w:t>
                  </w:r>
                </w:p>
              </w:tc>
              <w:tc>
                <w:tcPr>
                  <w:tcW w:w="2800"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与环评阶段相比，项目工程开发、使用功能未发生变化</w:t>
                  </w:r>
                </w:p>
              </w:tc>
              <w:tc>
                <w:tcPr>
                  <w:tcW w:w="1272"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不属于</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420" w:type="dxa"/>
                  <w:vMerge w:val="restart"/>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规模</w:t>
                  </w:r>
                </w:p>
              </w:tc>
              <w:tc>
                <w:tcPr>
                  <w:tcW w:w="4446"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2.生产、处置或储存能力增大30%及以上的。</w:t>
                  </w:r>
                </w:p>
              </w:tc>
              <w:tc>
                <w:tcPr>
                  <w:tcW w:w="2800"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与环评阶段相比，项目生产规模能力未发生变化。</w:t>
                  </w:r>
                </w:p>
              </w:tc>
              <w:tc>
                <w:tcPr>
                  <w:tcW w:w="1272"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不属于</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420" w:type="dxa"/>
                  <w:vMerge w:val="continue"/>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lang w:val="en-US" w:eastAsia="zh-CN"/>
                    </w:rPr>
                  </w:pPr>
                </w:p>
              </w:tc>
              <w:tc>
                <w:tcPr>
                  <w:tcW w:w="4446"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3.生产、处置或储存能力增大，导致废水第一类污染物排放量增加的。</w:t>
                  </w:r>
                </w:p>
              </w:tc>
              <w:tc>
                <w:tcPr>
                  <w:tcW w:w="2800"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与环评阶段相比，项目生产规模能力不变，废水第一类污染物排放量未增加。</w:t>
                  </w:r>
                </w:p>
              </w:tc>
              <w:tc>
                <w:tcPr>
                  <w:tcW w:w="1272"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不属于</w:t>
                  </w:r>
                </w:p>
                <w:p>
                  <w:pPr>
                    <w:pStyle w:val="5"/>
                    <w:keepNext w:val="0"/>
                    <w:keepLines w:val="0"/>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420" w:type="dxa"/>
                  <w:vMerge w:val="continue"/>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lang w:val="en-US" w:eastAsia="zh-CN"/>
                    </w:rPr>
                  </w:pPr>
                </w:p>
              </w:tc>
              <w:tc>
                <w:tcPr>
                  <w:tcW w:w="4446"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位于环境质量不达标区的建设项目生产、处置或储存能力增大，导致相应污染物排放量增加的（细颗粒物不达标区，相应污染物为二氧化硫、氮氧化物、可吸入颗粒物、挥发性有机物；臭氧不达标区，相应污染物为氮氧化物、挥发性有机物；其他大气、水污染引起达标区，相应污染物为超标污染因子）；位于达标区的建设项目生产、处置或储存能力增大，导致污染物排放量增加10％及以上的。</w:t>
                  </w:r>
                </w:p>
              </w:tc>
              <w:tc>
                <w:tcPr>
                  <w:tcW w:w="2800"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项目区域属于达标区，污染物未发生变化。</w:t>
                  </w:r>
                </w:p>
              </w:tc>
              <w:tc>
                <w:tcPr>
                  <w:tcW w:w="1272"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不属于</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420"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地点</w:t>
                  </w:r>
                </w:p>
              </w:tc>
              <w:tc>
                <w:tcPr>
                  <w:tcW w:w="4446"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5.重新选址；在原厂址附近调整（包括总平面布置变化）导致环境防护距离范围变化且新增敏感点的。</w:t>
                  </w:r>
                </w:p>
              </w:tc>
              <w:tc>
                <w:tcPr>
                  <w:tcW w:w="2800"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与环评阶段相比，项目未重新选址，环境防护距离范围未发生变化。</w:t>
                  </w:r>
                </w:p>
              </w:tc>
              <w:tc>
                <w:tcPr>
                  <w:tcW w:w="1272"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不属于</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89" w:hRule="atLeast"/>
              </w:trPr>
              <w:tc>
                <w:tcPr>
                  <w:tcW w:w="420" w:type="dxa"/>
                  <w:vMerge w:val="restart"/>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生产工艺</w:t>
                  </w:r>
                </w:p>
              </w:tc>
              <w:tc>
                <w:tcPr>
                  <w:tcW w:w="4446"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6.新增产品品种或生产工艺（含主要生产装置、设备及配套设施）、主要原辅材料、燃料变化，导致以下情形之一：</w:t>
                  </w:r>
                </w:p>
                <w:p>
                  <w:pPr>
                    <w:pStyle w:val="5"/>
                    <w:keepNext w:val="0"/>
                    <w:keepLines w:val="0"/>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①新增排放污染物种类的（毒性、挥发性降低的除外）；</w:t>
                  </w:r>
                </w:p>
                <w:p>
                  <w:pPr>
                    <w:pStyle w:val="5"/>
                    <w:keepNext w:val="0"/>
                    <w:keepLines w:val="0"/>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②位于环境质量不达标区的建设项目相应污染物排放量增；</w:t>
                  </w:r>
                </w:p>
                <w:p>
                  <w:pPr>
                    <w:pStyle w:val="5"/>
                    <w:keepNext w:val="0"/>
                    <w:keepLines w:val="0"/>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③废水第一类污染物排放量增加；</w:t>
                  </w:r>
                </w:p>
                <w:p>
                  <w:pPr>
                    <w:pStyle w:val="5"/>
                    <w:keepNext w:val="0"/>
                    <w:keepLines w:val="0"/>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④其他污染物排放量增加10％。</w:t>
                  </w:r>
                </w:p>
              </w:tc>
              <w:tc>
                <w:tcPr>
                  <w:tcW w:w="2800"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本项目为净化水厂项目，建设未新增产品品种或生产工艺（含主要生产装置、设备及配套设施）、主要原辅材料、燃料的变化。</w:t>
                  </w:r>
                </w:p>
              </w:tc>
              <w:tc>
                <w:tcPr>
                  <w:tcW w:w="1272"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不属于</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420" w:type="dxa"/>
                  <w:vMerge w:val="continue"/>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lang w:val="en-US" w:eastAsia="zh-CN"/>
                    </w:rPr>
                  </w:pPr>
                </w:p>
              </w:tc>
              <w:tc>
                <w:tcPr>
                  <w:tcW w:w="4446"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7.物料运输、装卸、贮存方式变化，导致大气污染物无组织排放量增加10％及以上的。</w:t>
                  </w:r>
                </w:p>
              </w:tc>
              <w:tc>
                <w:tcPr>
                  <w:tcW w:w="2800"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项目物料运输、装卸、贮存方式未变化。</w:t>
                  </w:r>
                </w:p>
              </w:tc>
              <w:tc>
                <w:tcPr>
                  <w:tcW w:w="1272"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不属于</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420" w:type="dxa"/>
                  <w:vMerge w:val="restart"/>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环境保护措施</w:t>
                  </w:r>
                </w:p>
              </w:tc>
              <w:tc>
                <w:tcPr>
                  <w:tcW w:w="444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8.废气、废水污染防治措施变化，导致第6条中所列情形之一（废气无组织排放改为有组织排放、污染防治措施强化或改进的除外）或大气污染物无组织排放量增加10％及以上的。</w:t>
                  </w:r>
                </w:p>
              </w:tc>
              <w:tc>
                <w:tcPr>
                  <w:tcW w:w="280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与环评阶段相比，项目废气、废水污染防治措施均按环评要求建设，未导致第6条中所列情形。</w:t>
                  </w:r>
                </w:p>
              </w:tc>
              <w:tc>
                <w:tcPr>
                  <w:tcW w:w="1272"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不属于</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420" w:type="dxa"/>
                  <w:vMerge w:val="continue"/>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lang w:val="en-US" w:eastAsia="zh-CN"/>
                    </w:rPr>
                  </w:pPr>
                </w:p>
              </w:tc>
              <w:tc>
                <w:tcPr>
                  <w:tcW w:w="444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9.新增废水直接排放口；废水由间接排放改为直接排放；废水直接排放口位置变化，导致不利环境影响加重的。</w:t>
                  </w:r>
                </w:p>
              </w:tc>
              <w:tc>
                <w:tcPr>
                  <w:tcW w:w="2800"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与环评阶段相比，项目运营期间员工生活废水，经玻璃钢化粪池处理消解定期清掏，排放方式未发生变化。</w:t>
                  </w:r>
                </w:p>
              </w:tc>
              <w:tc>
                <w:tcPr>
                  <w:tcW w:w="1272"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不属于</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420" w:type="dxa"/>
                  <w:vMerge w:val="continue"/>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lang w:val="en-US" w:eastAsia="zh-CN"/>
                    </w:rPr>
                  </w:pPr>
                </w:p>
              </w:tc>
              <w:tc>
                <w:tcPr>
                  <w:tcW w:w="444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10.新增废气主要排放口（废气无组织排放改为有组织排放的除外）；主要排放口排气筒高度降低 10％及以上的。</w:t>
                  </w:r>
                </w:p>
              </w:tc>
              <w:tc>
                <w:tcPr>
                  <w:tcW w:w="2800"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与环评阶段相比，项目运营期无废气排放，未发生变化。</w:t>
                  </w:r>
                </w:p>
              </w:tc>
              <w:tc>
                <w:tcPr>
                  <w:tcW w:w="1272"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不属于</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420" w:type="dxa"/>
                  <w:vMerge w:val="continue"/>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lang w:val="en-US" w:eastAsia="zh-CN"/>
                    </w:rPr>
                  </w:pPr>
                </w:p>
              </w:tc>
              <w:tc>
                <w:tcPr>
                  <w:tcW w:w="444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11.噪声、土壤或地下水污染防治措施变化，导致不利环境影响加重的</w:t>
                  </w:r>
                </w:p>
              </w:tc>
              <w:tc>
                <w:tcPr>
                  <w:tcW w:w="280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与环评阶段相比，项目运营期噪声、土壤或地下水污染防治措施未发生变化。</w:t>
                  </w:r>
                </w:p>
              </w:tc>
              <w:tc>
                <w:tcPr>
                  <w:tcW w:w="1272"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不属于</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420" w:type="dxa"/>
                  <w:vMerge w:val="continue"/>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lang w:val="en-US" w:eastAsia="zh-CN"/>
                    </w:rPr>
                  </w:pPr>
                </w:p>
              </w:tc>
              <w:tc>
                <w:tcPr>
                  <w:tcW w:w="444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12.固体废物利用处置方式由委托外单位利用处置改为自行利用处置的（自行利用处置设施单独开展环境影响评价的除外）；固体废物自行处置方式变化，导致不利环境影响加重的。</w:t>
                  </w:r>
                </w:p>
              </w:tc>
              <w:tc>
                <w:tcPr>
                  <w:tcW w:w="280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与环评阶段相比，项目生活垃圾处置方式未发生变化，未导致不利环境影响加重。</w:t>
                  </w:r>
                </w:p>
              </w:tc>
              <w:tc>
                <w:tcPr>
                  <w:tcW w:w="1272"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不属于</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420" w:type="dxa"/>
                  <w:vMerge w:val="continue"/>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lang w:val="en-US" w:eastAsia="zh-CN"/>
                    </w:rPr>
                  </w:pPr>
                </w:p>
              </w:tc>
              <w:tc>
                <w:tcPr>
                  <w:tcW w:w="444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13.事故废水暂存能力或拦截设施变化，导致环境风险防范能力弱化或降低的。</w:t>
                  </w:r>
                </w:p>
              </w:tc>
              <w:tc>
                <w:tcPr>
                  <w:tcW w:w="280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项目工程不涉及事故废水暂存或拦截设施，未发生变化。</w:t>
                  </w:r>
                </w:p>
              </w:tc>
              <w:tc>
                <w:tcPr>
                  <w:tcW w:w="1272"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不属于</w:t>
                  </w:r>
                </w:p>
              </w:tc>
            </w:tr>
          </w:tbl>
          <w:p>
            <w:pPr>
              <w:pStyle w:val="5"/>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sz w:val="24"/>
                <w:szCs w:val="24"/>
              </w:rPr>
            </w:pPr>
            <w:r>
              <w:rPr>
                <w:rFonts w:hint="eastAsia" w:ascii="Times New Roman" w:hAnsi="Times New Roman" w:eastAsia="宋体" w:cs="Times New Roman"/>
                <w:color w:val="auto"/>
                <w:kern w:val="2"/>
                <w:sz w:val="24"/>
                <w:szCs w:val="24"/>
                <w:highlight w:val="none"/>
                <w:lang w:val="en-US" w:eastAsia="zh-CN" w:bidi="ar-SA"/>
              </w:rPr>
              <w:t>环评建设内容、环保设施与实际建设内容对照情况：建设内容与环评一致，不属于重大变更，符合建设项目竣工环境保护验收要求。</w:t>
            </w:r>
          </w:p>
        </w:tc>
      </w:tr>
    </w:tbl>
    <w:p>
      <w:pPr>
        <w:pStyle w:val="6"/>
        <w:ind w:left="0" w:leftChars="0" w:firstLine="0" w:firstLineChars="0"/>
      </w:pPr>
    </w:p>
    <w:p>
      <w:pPr>
        <w:pStyle w:val="6"/>
        <w:sectPr>
          <w:pgSz w:w="11906" w:h="16838"/>
          <w:pgMar w:top="1440" w:right="1800" w:bottom="1440" w:left="1800" w:header="708" w:footer="708" w:gutter="0"/>
          <w:pgBorders>
            <w:top w:val="none" w:sz="0" w:space="0"/>
            <w:left w:val="none" w:sz="0" w:space="0"/>
            <w:bottom w:val="none" w:sz="0" w:space="0"/>
            <w:right w:val="none" w:sz="0" w:space="0"/>
          </w:pgBorders>
          <w:pgNumType w:fmt="decimal"/>
          <w:cols w:space="720" w:num="1"/>
          <w:docGrid w:linePitch="360" w:charSpace="0"/>
        </w:sectPr>
      </w:pPr>
    </w:p>
    <w:p>
      <w:pPr>
        <w:spacing w:after="0" w:afterLines="0" w:line="360" w:lineRule="auto"/>
        <w:rPr>
          <w:rFonts w:hint="eastAsia" w:eastAsia="仿宋_GB2312"/>
          <w:b/>
          <w:color w:val="000000"/>
          <w:sz w:val="24"/>
          <w:szCs w:val="24"/>
        </w:rPr>
      </w:pPr>
      <w:r>
        <w:rPr>
          <w:rFonts w:eastAsia="仿宋_GB2312"/>
          <w:b/>
          <w:color w:val="000000"/>
          <w:sz w:val="24"/>
          <w:szCs w:val="24"/>
        </w:rPr>
        <w:t>表</w:t>
      </w:r>
      <w:r>
        <w:rPr>
          <w:rFonts w:hint="eastAsia" w:eastAsia="仿宋_GB2312"/>
          <w:b/>
          <w:color w:val="000000"/>
          <w:sz w:val="24"/>
          <w:szCs w:val="24"/>
        </w:rPr>
        <w:t>三</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5" w:hRule="atLeast"/>
          <w:jc w:val="center"/>
        </w:trPr>
        <w:tc>
          <w:tcPr>
            <w:tcW w:w="8924" w:type="dxa"/>
            <w:noWrap w:val="0"/>
            <w:vAlign w:val="top"/>
          </w:tcPr>
          <w:p>
            <w:pPr>
              <w:keepNext w:val="0"/>
              <w:keepLines w:val="0"/>
              <w:pageBreakBefore w:val="0"/>
              <w:widowControl/>
              <w:kinsoku/>
              <w:wordWrap/>
              <w:overflowPunct/>
              <w:topLinePunct w:val="0"/>
              <w:autoSpaceDE/>
              <w:autoSpaceDN/>
              <w:bidi w:val="0"/>
              <w:adjustRightInd w:val="0"/>
              <w:snapToGrid w:val="0"/>
              <w:spacing w:after="0" w:afterLines="0" w:line="360" w:lineRule="auto"/>
              <w:jc w:val="both"/>
              <w:textAlignment w:val="auto"/>
              <w:rPr>
                <w:rFonts w:hint="default" w:ascii="Times New Roman" w:hAnsi="Times New Roman" w:eastAsia="楷体" w:cs="Times New Roman"/>
                <w:b/>
                <w:bCs/>
                <w:color w:val="000000"/>
                <w:sz w:val="28"/>
                <w:szCs w:val="28"/>
              </w:rPr>
            </w:pPr>
            <w:r>
              <w:rPr>
                <w:rFonts w:hint="default" w:ascii="Times New Roman" w:hAnsi="Times New Roman" w:eastAsia="楷体" w:cs="Times New Roman"/>
                <w:b/>
                <w:bCs/>
                <w:color w:val="000000"/>
                <w:sz w:val="28"/>
                <w:szCs w:val="28"/>
                <w:lang w:val="en-US" w:eastAsia="zh-CN"/>
              </w:rPr>
              <w:t>3.1</w:t>
            </w:r>
            <w:r>
              <w:rPr>
                <w:rFonts w:hint="default" w:ascii="Times New Roman" w:hAnsi="Times New Roman" w:eastAsia="楷体" w:cs="Times New Roman"/>
                <w:b/>
                <w:bCs/>
                <w:color w:val="000000"/>
                <w:sz w:val="28"/>
                <w:szCs w:val="28"/>
              </w:rPr>
              <w:t>主要污染源、污染物处理和排放</w:t>
            </w:r>
          </w:p>
          <w:p>
            <w:pPr>
              <w:keepNext w:val="0"/>
              <w:keepLines w:val="0"/>
              <w:pageBreakBefore w:val="0"/>
              <w:widowControl/>
              <w:kinsoku/>
              <w:wordWrap/>
              <w:overflowPunct/>
              <w:topLinePunct w:val="0"/>
              <w:autoSpaceDE/>
              <w:autoSpaceDN/>
              <w:bidi w:val="0"/>
              <w:adjustRightInd w:val="0"/>
              <w:snapToGrid w:val="0"/>
              <w:spacing w:after="0" w:afterLines="0" w:line="360" w:lineRule="auto"/>
              <w:jc w:val="both"/>
              <w:textAlignment w:val="auto"/>
              <w:rPr>
                <w:rFonts w:hint="default" w:ascii="Times New Roman" w:hAnsi="Times New Roman" w:eastAsia="楷体" w:cs="Times New Roman"/>
                <w:b/>
                <w:bCs/>
                <w:color w:val="000000"/>
                <w:sz w:val="28"/>
                <w:szCs w:val="28"/>
              </w:rPr>
            </w:pPr>
            <w:r>
              <w:rPr>
                <w:rFonts w:hint="default" w:ascii="Times New Roman" w:hAnsi="Times New Roman" w:eastAsia="楷体" w:cs="Times New Roman"/>
                <w:b/>
                <w:bCs/>
                <w:color w:val="000000"/>
                <w:sz w:val="28"/>
                <w:szCs w:val="28"/>
              </w:rPr>
              <w:t>3.1.1 废水</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本项目运营期产生的废水主要为生产废水（包括沉淀池的排泥水和反冲洗水）和生活污水。</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（1）生产废水</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经现场勘查，</w:t>
            </w:r>
            <w:r>
              <w:rPr>
                <w:rFonts w:hint="eastAsia" w:ascii="宋体" w:hAnsi="宋体" w:eastAsia="宋体" w:cs="宋体"/>
                <w:color w:val="000000"/>
                <w:kern w:val="0"/>
                <w:sz w:val="24"/>
                <w:szCs w:val="24"/>
                <w:lang w:val="en-US" w:eastAsia="zh-CN" w:bidi="ar"/>
              </w:rPr>
              <w:t>反冲洗废水经回用水调节池沉淀处理进入</w:t>
            </w:r>
            <w:r>
              <w:rPr>
                <w:rFonts w:hint="default" w:ascii="Times New Roman" w:hAnsi="Times New Roman" w:eastAsia="宋体" w:cs="Times New Roman"/>
                <w:color w:val="000000"/>
                <w:sz w:val="24"/>
                <w:szCs w:val="24"/>
                <w:lang w:val="en-US" w:eastAsia="zh-CN"/>
              </w:rPr>
              <w:t>反冲洗集水井</w:t>
            </w:r>
            <w:r>
              <w:rPr>
                <w:rFonts w:hint="eastAsia" w:ascii="宋体" w:hAnsi="宋体" w:eastAsia="宋体" w:cs="宋体"/>
                <w:color w:val="000000"/>
                <w:kern w:val="0"/>
                <w:sz w:val="24"/>
                <w:szCs w:val="24"/>
                <w:lang w:val="en-US" w:eastAsia="zh-CN" w:bidi="ar"/>
              </w:rPr>
              <w:t>回用</w:t>
            </w:r>
            <w:r>
              <w:rPr>
                <w:rFonts w:hint="default" w:ascii="Times New Roman" w:hAnsi="Times New Roman" w:eastAsia="宋体" w:cs="Times New Roman"/>
                <w:color w:val="000000"/>
                <w:sz w:val="24"/>
                <w:szCs w:val="24"/>
                <w:lang w:val="en-US" w:eastAsia="zh-CN"/>
              </w:rPr>
              <w:t>，不外排；</w:t>
            </w:r>
            <w:r>
              <w:rPr>
                <w:rFonts w:hint="default" w:ascii="Times New Roman" w:hAnsi="Times New Roman" w:eastAsia="宋体" w:cs="Times New Roman"/>
                <w:color w:val="000000"/>
                <w:sz w:val="24"/>
                <w:szCs w:val="24"/>
              </w:rPr>
              <w:t>根据调查，净化水厂</w:t>
            </w:r>
            <w:r>
              <w:rPr>
                <w:rFonts w:hint="default" w:ascii="Times New Roman" w:hAnsi="Times New Roman" w:eastAsia="宋体" w:cs="Times New Roman"/>
                <w:color w:val="000000"/>
                <w:sz w:val="24"/>
                <w:szCs w:val="24"/>
                <w:lang w:val="en-US" w:eastAsia="zh-CN"/>
              </w:rPr>
              <w:t>排泥水</w:t>
            </w:r>
            <w:r>
              <w:rPr>
                <w:rFonts w:hint="default" w:ascii="Times New Roman" w:hAnsi="Times New Roman" w:eastAsia="宋体" w:cs="Times New Roman"/>
                <w:color w:val="000000"/>
                <w:sz w:val="24"/>
                <w:szCs w:val="24"/>
              </w:rPr>
              <w:t>量约</w:t>
            </w:r>
            <w:r>
              <w:rPr>
                <w:rFonts w:hint="default" w:ascii="Times New Roman" w:hAnsi="Times New Roman" w:eastAsia="宋体" w:cs="Times New Roman"/>
                <w:color w:val="000000"/>
                <w:sz w:val="24"/>
                <w:szCs w:val="24"/>
                <w:lang w:val="en-US" w:eastAsia="zh-CN"/>
              </w:rPr>
              <w:t>0</w:t>
            </w:r>
            <w:r>
              <w:rPr>
                <w:rFonts w:hint="default" w:ascii="Times New Roman" w:hAnsi="Times New Roman" w:eastAsia="宋体" w:cs="Times New Roman"/>
                <w:color w:val="000000"/>
                <w:sz w:val="24"/>
                <w:szCs w:val="24"/>
              </w:rPr>
              <w:t>.</w:t>
            </w:r>
            <w:r>
              <w:rPr>
                <w:rFonts w:hint="eastAsia" w:ascii="Times New Roman" w:hAnsi="Times New Roman" w:eastAsia="宋体" w:cs="Times New Roman"/>
                <w:color w:val="000000"/>
                <w:sz w:val="24"/>
                <w:szCs w:val="24"/>
                <w:lang w:val="en-US" w:eastAsia="zh-CN"/>
              </w:rPr>
              <w:t>054</w:t>
            </w:r>
            <w:r>
              <w:rPr>
                <w:rFonts w:hint="default" w:ascii="Times New Roman" w:hAnsi="Times New Roman" w:eastAsia="宋体" w:cs="Times New Roman"/>
                <w:color w:val="000000"/>
                <w:sz w:val="24"/>
                <w:szCs w:val="24"/>
              </w:rPr>
              <w:t>m</w:t>
            </w:r>
            <w:r>
              <w:rPr>
                <w:rFonts w:hint="default" w:ascii="Times New Roman" w:hAnsi="Times New Roman" w:eastAsia="宋体" w:cs="Times New Roman"/>
                <w:color w:val="000000"/>
                <w:sz w:val="24"/>
                <w:szCs w:val="24"/>
                <w:vertAlign w:val="superscript"/>
              </w:rPr>
              <w:t>3</w:t>
            </w:r>
            <w:r>
              <w:rPr>
                <w:rFonts w:hint="default" w:ascii="Times New Roman" w:hAnsi="Times New Roman" w:eastAsia="宋体" w:cs="Times New Roman"/>
                <w:color w:val="000000"/>
                <w:sz w:val="24"/>
                <w:szCs w:val="24"/>
              </w:rPr>
              <w:t>/d，</w:t>
            </w:r>
            <w:r>
              <w:rPr>
                <w:rFonts w:hint="eastAsia" w:ascii="Times New Roman" w:hAnsi="Times New Roman" w:eastAsia="宋体" w:cs="Times New Roman"/>
                <w:color w:val="000000"/>
                <w:sz w:val="24"/>
                <w:szCs w:val="24"/>
                <w:lang w:val="en-US" w:eastAsia="zh-CN"/>
              </w:rPr>
              <w:t>19.71</w:t>
            </w:r>
            <w:r>
              <w:rPr>
                <w:rFonts w:hint="default" w:ascii="Times New Roman" w:hAnsi="Times New Roman" w:eastAsia="宋体" w:cs="Times New Roman"/>
                <w:color w:val="000000"/>
                <w:sz w:val="24"/>
                <w:szCs w:val="24"/>
              </w:rPr>
              <w:t>m</w:t>
            </w:r>
            <w:r>
              <w:rPr>
                <w:rFonts w:hint="default" w:ascii="Times New Roman" w:hAnsi="Times New Roman" w:eastAsia="宋体" w:cs="Times New Roman"/>
                <w:color w:val="000000"/>
                <w:sz w:val="24"/>
                <w:szCs w:val="24"/>
                <w:vertAlign w:val="superscript"/>
              </w:rPr>
              <w:t>3</w:t>
            </w:r>
            <w:r>
              <w:rPr>
                <w:rFonts w:hint="default" w:ascii="Times New Roman" w:hAnsi="Times New Roman" w:eastAsia="宋体" w:cs="Times New Roman"/>
                <w:color w:val="000000"/>
                <w:sz w:val="24"/>
                <w:szCs w:val="24"/>
              </w:rPr>
              <w:t>/</w:t>
            </w:r>
            <w:r>
              <w:rPr>
                <w:rFonts w:hint="eastAsia" w:ascii="Times New Roman" w:hAnsi="Times New Roman" w:eastAsia="宋体" w:cs="Times New Roman"/>
                <w:color w:val="000000"/>
                <w:sz w:val="24"/>
                <w:szCs w:val="24"/>
                <w:lang w:val="en-US" w:eastAsia="zh-CN"/>
              </w:rPr>
              <w:t>a，</w:t>
            </w:r>
            <w:r>
              <w:rPr>
                <w:rFonts w:hint="default" w:ascii="Times New Roman" w:hAnsi="Times New Roman" w:eastAsia="宋体" w:cs="Times New Roman"/>
                <w:color w:val="000000"/>
                <w:sz w:val="24"/>
                <w:szCs w:val="24"/>
                <w:lang w:val="en-US" w:eastAsia="zh-CN"/>
              </w:rPr>
              <w:t>沉淀池排泥水首先进入排泥水调节池，然后排入泥沙处理间，经机械浓缩处理，上清液用于厂区绿化</w:t>
            </w:r>
            <w:r>
              <w:rPr>
                <w:rFonts w:hint="eastAsia" w:ascii="Times New Roman" w:hAnsi="Times New Roman" w:eastAsia="宋体" w:cs="Times New Roman"/>
                <w:color w:val="000000"/>
                <w:sz w:val="24"/>
                <w:szCs w:val="24"/>
                <w:lang w:val="en-US" w:eastAsia="zh-CN"/>
              </w:rPr>
              <w:t>，不外排</w:t>
            </w:r>
            <w:r>
              <w:rPr>
                <w:rFonts w:hint="default" w:ascii="Times New Roman" w:hAnsi="Times New Roman" w:eastAsia="宋体" w:cs="Times New Roman"/>
                <w:color w:val="000000"/>
                <w:sz w:val="24"/>
                <w:szCs w:val="24"/>
                <w:lang w:val="en-US" w:eastAsia="zh-CN"/>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）生活污水</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根据调查</w:t>
            </w:r>
            <w:r>
              <w:rPr>
                <w:rFonts w:hint="eastAsia" w:ascii="Times New Roman" w:hAnsi="Times New Roman" w:eastAsia="宋体" w:cs="Times New Roman"/>
                <w:color w:val="auto"/>
                <w:sz w:val="24"/>
                <w:szCs w:val="24"/>
                <w:lang w:val="en-US" w:eastAsia="zh-CN"/>
              </w:rPr>
              <w:t>，厂内</w:t>
            </w:r>
            <w:r>
              <w:rPr>
                <w:rFonts w:hint="default" w:ascii="Times New Roman" w:hAnsi="Times New Roman" w:eastAsia="宋体" w:cs="Times New Roman"/>
                <w:color w:val="auto"/>
                <w:sz w:val="24"/>
                <w:szCs w:val="24"/>
              </w:rPr>
              <w:t>安排有</w:t>
            </w:r>
            <w:r>
              <w:rPr>
                <w:rFonts w:hint="eastAsia"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rPr>
              <w:t>人常驻水厂负责厂区的日常运行，产生的生活污水较少，经厂区化粪池处理后用作农肥，不外排。</w:t>
            </w:r>
          </w:p>
          <w:p>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楷体" w:cs="Times New Roman"/>
                <w:b/>
                <w:bCs/>
                <w:color w:val="000000"/>
                <w:sz w:val="28"/>
                <w:szCs w:val="28"/>
              </w:rPr>
            </w:pPr>
            <w:r>
              <w:rPr>
                <w:rFonts w:hint="default" w:ascii="Times New Roman" w:hAnsi="Times New Roman" w:eastAsia="楷体" w:cs="Times New Roman"/>
                <w:b/>
                <w:bCs/>
                <w:color w:val="000000"/>
                <w:sz w:val="28"/>
                <w:szCs w:val="28"/>
              </w:rPr>
              <w:t>3.1.2 噪声</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本项目运营期噪声来源主要是水厂取</w:t>
            </w:r>
            <w:r>
              <w:rPr>
                <w:rFonts w:hint="eastAsia" w:ascii="Times New Roman" w:hAnsi="Times New Roman" w:eastAsia="宋体" w:cs="Times New Roman"/>
                <w:b w:val="0"/>
                <w:bCs w:val="0"/>
                <w:color w:val="000000"/>
                <w:sz w:val="24"/>
                <w:szCs w:val="24"/>
                <w:lang w:val="en-US" w:eastAsia="zh-CN"/>
              </w:rPr>
              <w:t>水</w:t>
            </w:r>
            <w:r>
              <w:rPr>
                <w:rFonts w:hint="default" w:ascii="Times New Roman" w:hAnsi="Times New Roman" w:eastAsia="宋体" w:cs="Times New Roman"/>
                <w:b w:val="0"/>
                <w:bCs w:val="0"/>
                <w:color w:val="000000"/>
                <w:sz w:val="24"/>
                <w:szCs w:val="24"/>
              </w:rPr>
              <w:t>泵、潜水泵等设备运行时产生的噪声。采取选用低噪声设备、合理布局，取水泵、潜水泵等采取基础减震、墙体隔声等治理措施。</w:t>
            </w:r>
          </w:p>
          <w:p>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楷体" w:cs="Times New Roman"/>
                <w:b/>
                <w:bCs/>
                <w:color w:val="000000"/>
                <w:sz w:val="28"/>
                <w:szCs w:val="28"/>
              </w:rPr>
            </w:pPr>
            <w:r>
              <w:rPr>
                <w:rFonts w:hint="default" w:ascii="Times New Roman" w:hAnsi="Times New Roman" w:eastAsia="楷体" w:cs="Times New Roman"/>
                <w:b/>
                <w:bCs/>
                <w:color w:val="000000"/>
                <w:sz w:val="28"/>
                <w:szCs w:val="28"/>
              </w:rPr>
              <w:t>3.1.3 固废</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根据调查，本项目运营期产生的固体废物主要包括废水收集池污泥</w:t>
            </w:r>
            <w:r>
              <w:rPr>
                <w:rFonts w:hint="eastAsia" w:ascii="Times New Roman" w:hAnsi="Times New Roman" w:eastAsia="宋体" w:cs="Times New Roman"/>
                <w:b w:val="0"/>
                <w:bCs w:val="0"/>
                <w:color w:val="000000"/>
                <w:sz w:val="24"/>
                <w:szCs w:val="24"/>
                <w:lang w:eastAsia="zh-CN"/>
              </w:rPr>
              <w:t>、</w:t>
            </w:r>
            <w:r>
              <w:rPr>
                <w:rFonts w:hint="default" w:ascii="Times New Roman" w:hAnsi="Times New Roman" w:eastAsia="宋体" w:cs="Times New Roman"/>
                <w:b w:val="0"/>
                <w:bCs w:val="0"/>
                <w:color w:val="000000"/>
                <w:sz w:val="24"/>
                <w:szCs w:val="24"/>
              </w:rPr>
              <w:t>生活垃圾。</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①污泥：根据现场调查，</w:t>
            </w:r>
            <w:r>
              <w:rPr>
                <w:rFonts w:hint="eastAsia" w:ascii="Times New Roman" w:hAnsi="Times New Roman" w:eastAsia="宋体" w:cs="Times New Roman"/>
                <w:color w:val="000000"/>
                <w:sz w:val="24"/>
                <w:szCs w:val="24"/>
                <w:lang w:val="en-US" w:eastAsia="zh-CN"/>
              </w:rPr>
              <w:t>措周</w:t>
            </w:r>
            <w:r>
              <w:rPr>
                <w:rFonts w:hint="default" w:ascii="Times New Roman" w:hAnsi="Times New Roman" w:eastAsia="宋体" w:cs="Times New Roman"/>
                <w:color w:val="000000"/>
                <w:sz w:val="24"/>
                <w:szCs w:val="24"/>
              </w:rPr>
              <w:t>乡净化水厂</w:t>
            </w:r>
            <w:r>
              <w:rPr>
                <w:rFonts w:hint="default" w:ascii="Times New Roman" w:hAnsi="Times New Roman" w:eastAsia="宋体" w:cs="Times New Roman"/>
                <w:b w:val="0"/>
                <w:bCs w:val="0"/>
                <w:color w:val="000000"/>
                <w:sz w:val="24"/>
                <w:szCs w:val="24"/>
              </w:rPr>
              <w:t>目前暂未清掏污泥，后续运营期间定期清掏后由环卫部门负责清运至垃圾填埋场处置。</w:t>
            </w:r>
            <w:r>
              <w:rPr>
                <w:rFonts w:hint="eastAsia" w:ascii="Times New Roman" w:hAnsi="Times New Roman" w:eastAsia="宋体" w:cs="Times New Roman"/>
                <w:b w:val="0"/>
                <w:bCs w:val="0"/>
                <w:color w:val="auto"/>
                <w:sz w:val="24"/>
                <w:szCs w:val="24"/>
                <w:lang w:val="en-US" w:eastAsia="zh-CN"/>
              </w:rPr>
              <w:t>本次验收预估后期运营过程净水厂废水收集池产生污泥量约为0.00027t/d，0.0986t/a。</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②废包装材料：根据调查，</w:t>
            </w:r>
            <w:r>
              <w:rPr>
                <w:rFonts w:hint="default" w:ascii="Times New Roman" w:hAnsi="Times New Roman" w:eastAsia="宋体" w:cs="Times New Roman"/>
                <w:color w:val="auto"/>
                <w:sz w:val="24"/>
                <w:szCs w:val="24"/>
              </w:rPr>
              <w:t>净化水厂</w:t>
            </w:r>
            <w:r>
              <w:rPr>
                <w:rFonts w:hint="default" w:ascii="Times New Roman" w:hAnsi="Times New Roman" w:eastAsia="宋体" w:cs="Times New Roman"/>
                <w:b w:val="0"/>
                <w:bCs w:val="0"/>
                <w:color w:val="auto"/>
                <w:sz w:val="24"/>
                <w:szCs w:val="24"/>
              </w:rPr>
              <w:t>的加氯加药间产生的的废包装材料约为0.</w:t>
            </w:r>
            <w:r>
              <w:rPr>
                <w:rFonts w:hint="eastAsia" w:ascii="Times New Roman" w:hAnsi="Times New Roman" w:eastAsia="宋体" w:cs="Times New Roman"/>
                <w:b w:val="0"/>
                <w:bCs w:val="0"/>
                <w:color w:val="auto"/>
                <w:sz w:val="24"/>
                <w:szCs w:val="24"/>
                <w:lang w:val="en-US" w:eastAsia="zh-CN"/>
              </w:rPr>
              <w:t>5</w:t>
            </w:r>
            <w:r>
              <w:rPr>
                <w:rFonts w:hint="default" w:ascii="Times New Roman" w:hAnsi="Times New Roman" w:eastAsia="宋体" w:cs="Times New Roman"/>
                <w:b w:val="0"/>
                <w:bCs w:val="0"/>
                <w:color w:val="auto"/>
                <w:sz w:val="24"/>
                <w:szCs w:val="24"/>
              </w:rPr>
              <w:t>t/a，统一收集后回收利用。</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auto"/>
                <w:sz w:val="24"/>
                <w:szCs w:val="24"/>
              </w:rPr>
              <w:t>③</w:t>
            </w:r>
            <w:r>
              <w:rPr>
                <w:rFonts w:hint="default" w:ascii="Times New Roman" w:hAnsi="Times New Roman" w:eastAsia="宋体" w:cs="Times New Roman"/>
                <w:b w:val="0"/>
                <w:bCs w:val="0"/>
                <w:color w:val="000000"/>
                <w:sz w:val="24"/>
                <w:szCs w:val="24"/>
              </w:rPr>
              <w:t>生活垃圾：根据调查，</w:t>
            </w:r>
            <w:r>
              <w:rPr>
                <w:rFonts w:hint="eastAsia" w:ascii="Times New Roman" w:hAnsi="Times New Roman" w:eastAsia="宋体" w:cs="Times New Roman"/>
                <w:color w:val="000000"/>
                <w:sz w:val="24"/>
                <w:szCs w:val="24"/>
                <w:lang w:val="en-US" w:eastAsia="zh-CN"/>
              </w:rPr>
              <w:t>措周</w:t>
            </w:r>
            <w:r>
              <w:rPr>
                <w:rFonts w:hint="default" w:ascii="Times New Roman" w:hAnsi="Times New Roman" w:eastAsia="宋体" w:cs="Times New Roman"/>
                <w:color w:val="000000"/>
                <w:sz w:val="24"/>
                <w:szCs w:val="24"/>
              </w:rPr>
              <w:t>乡净化水厂</w:t>
            </w:r>
            <w:r>
              <w:rPr>
                <w:rFonts w:hint="default" w:ascii="Times New Roman" w:hAnsi="Times New Roman" w:eastAsia="宋体" w:cs="Times New Roman"/>
                <w:b w:val="0"/>
                <w:bCs w:val="0"/>
                <w:color w:val="000000"/>
                <w:sz w:val="24"/>
                <w:szCs w:val="24"/>
              </w:rPr>
              <w:t>设</w:t>
            </w:r>
            <w:r>
              <w:rPr>
                <w:rFonts w:hint="eastAsia" w:ascii="Times New Roman" w:hAnsi="Times New Roman" w:eastAsia="宋体" w:cs="Times New Roman"/>
                <w:b w:val="0"/>
                <w:bCs w:val="0"/>
                <w:color w:val="000000"/>
                <w:sz w:val="24"/>
                <w:szCs w:val="24"/>
                <w:lang w:val="en-US" w:eastAsia="zh-CN"/>
              </w:rPr>
              <w:t>4</w:t>
            </w:r>
            <w:r>
              <w:rPr>
                <w:rFonts w:hint="default" w:ascii="Times New Roman" w:hAnsi="Times New Roman" w:eastAsia="宋体" w:cs="Times New Roman"/>
                <w:b w:val="0"/>
                <w:bCs w:val="0"/>
                <w:color w:val="000000"/>
                <w:sz w:val="24"/>
                <w:szCs w:val="24"/>
              </w:rPr>
              <w:t>名人员，为当地居民，常驻人员目前未在厂内就餐，生活垃圾产生量较少，净水厂内设垃圾桶，由环卫部门清运处置。</w:t>
            </w:r>
          </w:p>
          <w:p>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楷体" w:cs="Times New Roman"/>
                <w:b/>
                <w:bCs/>
                <w:color w:val="000000"/>
                <w:sz w:val="28"/>
                <w:szCs w:val="28"/>
              </w:rPr>
            </w:pPr>
            <w:r>
              <w:rPr>
                <w:rFonts w:hint="default" w:ascii="Times New Roman" w:hAnsi="Times New Roman" w:eastAsia="楷体" w:cs="Times New Roman"/>
                <w:b/>
                <w:bCs/>
                <w:color w:val="000000"/>
                <w:sz w:val="28"/>
                <w:szCs w:val="28"/>
              </w:rPr>
              <w:t>3.1.4 生态恢复</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b w:val="0"/>
                <w:bCs w:val="0"/>
                <w:color w:val="000000"/>
                <w:sz w:val="24"/>
                <w:szCs w:val="24"/>
                <w:lang w:eastAsia="zh-CN"/>
              </w:rPr>
            </w:pPr>
            <w:r>
              <w:rPr>
                <w:rFonts w:hint="default" w:ascii="Times New Roman" w:hAnsi="Times New Roman" w:eastAsia="宋体" w:cs="Times New Roman"/>
                <w:b w:val="0"/>
                <w:bCs w:val="0"/>
                <w:color w:val="000000"/>
                <w:sz w:val="24"/>
                <w:szCs w:val="24"/>
              </w:rPr>
              <w:t>根据调查，</w:t>
            </w:r>
            <w:r>
              <w:rPr>
                <w:rFonts w:hint="eastAsia" w:ascii="Times New Roman" w:hAnsi="Times New Roman" w:eastAsia="宋体" w:cs="Times New Roman"/>
                <w:color w:val="000000"/>
                <w:sz w:val="24"/>
                <w:szCs w:val="24"/>
                <w:lang w:val="en-US" w:eastAsia="zh-CN"/>
              </w:rPr>
              <w:t>措周乡</w:t>
            </w:r>
            <w:r>
              <w:rPr>
                <w:rFonts w:hint="default" w:ascii="Times New Roman" w:hAnsi="Times New Roman" w:eastAsia="宋体" w:cs="Times New Roman"/>
                <w:color w:val="000000"/>
                <w:sz w:val="24"/>
                <w:szCs w:val="24"/>
              </w:rPr>
              <w:t>净化水厂</w:t>
            </w:r>
            <w:r>
              <w:rPr>
                <w:rFonts w:hint="default" w:ascii="Times New Roman" w:hAnsi="Times New Roman" w:eastAsia="宋体" w:cs="Times New Roman"/>
                <w:b w:val="0"/>
                <w:bCs w:val="0"/>
                <w:color w:val="000000"/>
                <w:sz w:val="24"/>
                <w:szCs w:val="24"/>
              </w:rPr>
              <w:t>的建设过程中涉及</w:t>
            </w:r>
            <w:r>
              <w:rPr>
                <w:rFonts w:hint="eastAsia" w:ascii="Times New Roman" w:hAnsi="Times New Roman" w:eastAsia="宋体" w:cs="Times New Roman"/>
                <w:b w:val="0"/>
                <w:bCs w:val="0"/>
                <w:color w:val="000000"/>
                <w:sz w:val="24"/>
                <w:szCs w:val="24"/>
                <w:lang w:val="en-US" w:eastAsia="zh-CN"/>
              </w:rPr>
              <w:t>主体</w:t>
            </w:r>
            <w:r>
              <w:rPr>
                <w:rFonts w:hint="default" w:ascii="Times New Roman" w:hAnsi="Times New Roman" w:eastAsia="宋体" w:cs="Times New Roman"/>
                <w:b w:val="0"/>
                <w:bCs w:val="0"/>
                <w:color w:val="000000"/>
                <w:sz w:val="24"/>
                <w:szCs w:val="24"/>
              </w:rPr>
              <w:t>工程</w:t>
            </w:r>
            <w:r>
              <w:rPr>
                <w:rFonts w:hint="eastAsia" w:ascii="Times New Roman" w:hAnsi="Times New Roman" w:eastAsia="宋体" w:cs="Times New Roman"/>
                <w:b w:val="0"/>
                <w:bCs w:val="0"/>
                <w:color w:val="000000"/>
                <w:sz w:val="24"/>
                <w:szCs w:val="24"/>
                <w:lang w:val="en-US" w:eastAsia="zh-CN"/>
              </w:rPr>
              <w:t>以及附属配套设施均</w:t>
            </w:r>
            <w:r>
              <w:rPr>
                <w:rFonts w:hint="default" w:ascii="Times New Roman" w:hAnsi="Times New Roman" w:eastAsia="宋体" w:cs="Times New Roman"/>
                <w:b w:val="0"/>
                <w:bCs w:val="0"/>
                <w:color w:val="000000"/>
                <w:sz w:val="24"/>
                <w:szCs w:val="24"/>
              </w:rPr>
              <w:t>已</w:t>
            </w:r>
            <w:r>
              <w:rPr>
                <w:rFonts w:hint="eastAsia" w:ascii="Times New Roman" w:hAnsi="Times New Roman" w:eastAsia="宋体" w:cs="Times New Roman"/>
                <w:b w:val="0"/>
                <w:bCs w:val="0"/>
                <w:color w:val="000000"/>
                <w:sz w:val="24"/>
                <w:szCs w:val="24"/>
                <w:lang w:val="en-US" w:eastAsia="zh-CN"/>
              </w:rPr>
              <w:t>完工并对扰动地表</w:t>
            </w:r>
            <w:r>
              <w:rPr>
                <w:rFonts w:hint="default" w:ascii="Times New Roman" w:hAnsi="Times New Roman" w:eastAsia="宋体" w:cs="Times New Roman"/>
                <w:b w:val="0"/>
                <w:bCs w:val="0"/>
                <w:color w:val="000000"/>
                <w:sz w:val="24"/>
                <w:szCs w:val="24"/>
              </w:rPr>
              <w:t>完成生态恢复，且恢复效果良好。</w:t>
            </w:r>
          </w:p>
          <w:p>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楷体" w:cs="Times New Roman"/>
                <w:b/>
                <w:bCs/>
                <w:color w:val="000000"/>
                <w:sz w:val="28"/>
                <w:szCs w:val="28"/>
              </w:rPr>
            </w:pPr>
            <w:r>
              <w:rPr>
                <w:rFonts w:hint="default" w:ascii="Times New Roman" w:hAnsi="Times New Roman" w:eastAsia="楷体" w:cs="Times New Roman"/>
                <w:b/>
                <w:bCs/>
                <w:color w:val="000000"/>
                <w:sz w:val="28"/>
                <w:szCs w:val="28"/>
              </w:rPr>
              <w:t>3.2</w:t>
            </w:r>
            <w:r>
              <w:rPr>
                <w:rFonts w:hint="eastAsia" w:ascii="Times New Roman" w:hAnsi="Times New Roman" w:eastAsia="楷体" w:cs="Times New Roman"/>
                <w:b/>
                <w:bCs/>
                <w:color w:val="000000"/>
                <w:sz w:val="28"/>
                <w:szCs w:val="28"/>
                <w:lang w:val="en-US" w:eastAsia="zh-CN"/>
              </w:rPr>
              <w:t xml:space="preserve"> </w:t>
            </w:r>
            <w:r>
              <w:rPr>
                <w:rFonts w:hint="eastAsia" w:ascii="Times New Roman" w:hAnsi="Times New Roman" w:eastAsia="楷体" w:cs="Times New Roman"/>
                <w:b/>
                <w:bCs/>
                <w:color w:val="000000"/>
                <w:sz w:val="28"/>
                <w:szCs w:val="28"/>
                <w:lang w:eastAsia="zh-CN"/>
              </w:rPr>
              <w:t>“</w:t>
            </w:r>
            <w:r>
              <w:rPr>
                <w:rFonts w:hint="default" w:ascii="Times New Roman" w:hAnsi="Times New Roman" w:eastAsia="楷体" w:cs="Times New Roman"/>
                <w:b/>
                <w:bCs/>
                <w:color w:val="000000"/>
                <w:sz w:val="28"/>
                <w:szCs w:val="28"/>
              </w:rPr>
              <w:t>三同时</w:t>
            </w:r>
            <w:r>
              <w:rPr>
                <w:rFonts w:hint="eastAsia" w:ascii="Times New Roman" w:hAnsi="Times New Roman" w:eastAsia="楷体" w:cs="Times New Roman"/>
                <w:b/>
                <w:bCs/>
                <w:color w:val="000000"/>
                <w:sz w:val="28"/>
                <w:szCs w:val="28"/>
                <w:lang w:eastAsia="zh-CN"/>
              </w:rPr>
              <w:t>”</w:t>
            </w:r>
            <w:r>
              <w:rPr>
                <w:rFonts w:hint="default" w:ascii="Times New Roman" w:hAnsi="Times New Roman" w:eastAsia="楷体" w:cs="Times New Roman"/>
                <w:b/>
                <w:bCs/>
                <w:color w:val="000000"/>
                <w:sz w:val="28"/>
                <w:szCs w:val="28"/>
              </w:rPr>
              <w:t>及环保投资落实情况</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lang w:eastAsia="zh-CN"/>
              </w:rPr>
              <w:t>“</w:t>
            </w:r>
            <w:r>
              <w:rPr>
                <w:rFonts w:hint="default" w:ascii="Times New Roman" w:hAnsi="Times New Roman" w:eastAsia="宋体" w:cs="Times New Roman"/>
                <w:b w:val="0"/>
                <w:bCs w:val="0"/>
                <w:color w:val="auto"/>
                <w:sz w:val="24"/>
                <w:szCs w:val="24"/>
              </w:rPr>
              <w:t>三同时</w:t>
            </w:r>
            <w:r>
              <w:rPr>
                <w:rFonts w:hint="eastAsia" w:ascii="Times New Roman" w:hAnsi="Times New Roman" w:eastAsia="宋体" w:cs="Times New Roman"/>
                <w:b w:val="0"/>
                <w:bCs w:val="0"/>
                <w:color w:val="auto"/>
                <w:sz w:val="24"/>
                <w:szCs w:val="24"/>
                <w:lang w:eastAsia="zh-CN"/>
              </w:rPr>
              <w:t>”</w:t>
            </w:r>
            <w:r>
              <w:rPr>
                <w:rFonts w:hint="default" w:ascii="Times New Roman" w:hAnsi="Times New Roman" w:eastAsia="宋体" w:cs="Times New Roman"/>
                <w:b w:val="0"/>
                <w:bCs w:val="0"/>
                <w:color w:val="auto"/>
                <w:sz w:val="24"/>
                <w:szCs w:val="24"/>
              </w:rPr>
              <w:t>落实情况见表3.2-1、3.2-2。项目实际总投资</w:t>
            </w:r>
            <w:r>
              <w:rPr>
                <w:rFonts w:hint="eastAsia" w:ascii="Times New Roman" w:hAnsi="Times New Roman" w:eastAsia="宋体" w:cs="Times New Roman"/>
                <w:b w:val="0"/>
                <w:bCs w:val="0"/>
                <w:color w:val="auto"/>
                <w:sz w:val="24"/>
                <w:szCs w:val="24"/>
                <w:lang w:val="en-US" w:eastAsia="zh-CN"/>
              </w:rPr>
              <w:t>478.44</w:t>
            </w:r>
            <w:r>
              <w:rPr>
                <w:rFonts w:hint="default" w:ascii="Times New Roman" w:hAnsi="Times New Roman" w:eastAsia="宋体" w:cs="Times New Roman"/>
                <w:b w:val="0"/>
                <w:bCs w:val="0"/>
                <w:color w:val="auto"/>
                <w:sz w:val="24"/>
                <w:szCs w:val="24"/>
              </w:rPr>
              <w:t>万，环保投资为</w:t>
            </w:r>
            <w:r>
              <w:rPr>
                <w:rFonts w:hint="eastAsia" w:ascii="Times New Roman" w:hAnsi="Times New Roman" w:eastAsia="宋体" w:cs="Times New Roman"/>
                <w:b w:val="0"/>
                <w:bCs w:val="0"/>
                <w:color w:val="auto"/>
                <w:sz w:val="24"/>
                <w:szCs w:val="24"/>
                <w:lang w:val="en-US" w:eastAsia="zh-CN"/>
              </w:rPr>
              <w:t>10</w:t>
            </w:r>
            <w:r>
              <w:rPr>
                <w:rFonts w:hint="default" w:ascii="Times New Roman" w:hAnsi="Times New Roman" w:eastAsia="宋体" w:cs="Times New Roman"/>
                <w:b w:val="0"/>
                <w:bCs w:val="0"/>
                <w:color w:val="auto"/>
                <w:sz w:val="24"/>
                <w:szCs w:val="24"/>
              </w:rPr>
              <w:t>万元，占总投资的</w:t>
            </w:r>
            <w:r>
              <w:rPr>
                <w:rFonts w:hint="eastAsia" w:ascii="Times New Roman" w:hAnsi="Times New Roman" w:eastAsia="宋体" w:cs="Times New Roman"/>
                <w:b w:val="0"/>
                <w:bCs w:val="0"/>
                <w:color w:val="auto"/>
                <w:sz w:val="24"/>
                <w:szCs w:val="24"/>
                <w:lang w:val="en-US" w:eastAsia="zh-CN"/>
              </w:rPr>
              <w:t>2.09</w:t>
            </w:r>
            <w:r>
              <w:rPr>
                <w:rFonts w:hint="default" w:ascii="Times New Roman" w:hAnsi="Times New Roman" w:eastAsia="宋体" w:cs="Times New Roman"/>
                <w:b w:val="0"/>
                <w:bCs w:val="0"/>
                <w:color w:val="auto"/>
                <w:sz w:val="24"/>
                <w:szCs w:val="24"/>
              </w:rPr>
              <w:t>%，具体见表3.</w:t>
            </w:r>
            <w:r>
              <w:rPr>
                <w:rFonts w:hint="eastAsia" w:ascii="Times New Roman" w:hAnsi="Times New Roman" w:eastAsia="宋体" w:cs="Times New Roman"/>
                <w:b w:val="0"/>
                <w:bCs w:val="0"/>
                <w:color w:val="auto"/>
                <w:sz w:val="24"/>
                <w:szCs w:val="24"/>
                <w:lang w:val="en-US" w:eastAsia="zh-CN"/>
              </w:rPr>
              <w:t>2</w:t>
            </w:r>
            <w:r>
              <w:rPr>
                <w:rFonts w:hint="default" w:ascii="Times New Roman" w:hAnsi="Times New Roman" w:eastAsia="宋体" w:cs="Times New Roman"/>
                <w:b w:val="0"/>
                <w:bCs w:val="0"/>
                <w:color w:val="auto"/>
                <w:sz w:val="24"/>
                <w:szCs w:val="24"/>
              </w:rPr>
              <w:t>-</w:t>
            </w:r>
            <w:r>
              <w:rPr>
                <w:rFonts w:hint="eastAsia" w:ascii="Times New Roman" w:hAnsi="Times New Roman" w:eastAsia="宋体" w:cs="Times New Roman"/>
                <w:b w:val="0"/>
                <w:bCs w:val="0"/>
                <w:color w:val="auto"/>
                <w:sz w:val="24"/>
                <w:szCs w:val="24"/>
                <w:lang w:val="en-US" w:eastAsia="zh-CN"/>
              </w:rPr>
              <w:t>3</w:t>
            </w:r>
            <w:r>
              <w:rPr>
                <w:rFonts w:hint="default" w:ascii="Times New Roman" w:hAnsi="Times New Roman" w:eastAsia="宋体" w:cs="Times New Roman"/>
                <w:b w:val="0"/>
                <w:bCs w:val="0"/>
                <w:color w:val="auto"/>
                <w:sz w:val="24"/>
                <w:szCs w:val="24"/>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b w:val="0"/>
                <w:bCs w:val="0"/>
                <w:color w:val="000000"/>
                <w:sz w:val="24"/>
                <w:szCs w:val="24"/>
                <w:lang w:eastAsia="zh-CN"/>
              </w:rPr>
            </w:pPr>
            <w:r>
              <w:rPr>
                <w:rFonts w:hint="eastAsia" w:ascii="Times New Roman" w:hAnsi="Times New Roman" w:eastAsia="宋体" w:cs="Times New Roman"/>
                <w:b w:val="0"/>
                <w:bCs w:val="0"/>
                <w:color w:val="000000"/>
                <w:sz w:val="24"/>
                <w:szCs w:val="24"/>
                <w:lang w:eastAsia="zh-CN"/>
              </w:rPr>
              <w:t>本项目按照相关法律法规要求进行了环境影响评价，环保审批手续齐全。对照环评阶段，本项目建设内容与环评阶段相比较，无重大变动。项目配套的环保设施与主体工程基本做到同时设计、同时施工、同时投入使用，本项目满足环保设施“三同时”要求。</w:t>
            </w:r>
          </w:p>
          <w:p>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Times New Roman" w:hAnsi="Times New Roman" w:eastAsia="楷体" w:cs="Times New Roman"/>
                <w:b/>
                <w:bCs/>
                <w:color w:val="000000"/>
                <w:sz w:val="28"/>
                <w:szCs w:val="28"/>
                <w:lang w:eastAsia="zh-CN"/>
              </w:rPr>
            </w:pPr>
            <w:r>
              <w:rPr>
                <w:rFonts w:hint="eastAsia" w:ascii="Times New Roman" w:hAnsi="Times New Roman" w:eastAsia="楷体" w:cs="Times New Roman"/>
                <w:b/>
                <w:bCs/>
                <w:color w:val="000000"/>
                <w:sz w:val="28"/>
                <w:szCs w:val="28"/>
                <w:lang w:eastAsia="zh-CN"/>
              </w:rPr>
              <w:t>3.3 环境管理</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b w:val="0"/>
                <w:bCs w:val="0"/>
                <w:color w:val="000000"/>
                <w:sz w:val="24"/>
                <w:szCs w:val="24"/>
                <w:lang w:eastAsia="zh-CN"/>
              </w:rPr>
            </w:pPr>
            <w:r>
              <w:rPr>
                <w:rFonts w:hint="eastAsia" w:ascii="Times New Roman" w:hAnsi="Times New Roman" w:eastAsia="宋体" w:cs="Times New Roman"/>
                <w:b w:val="0"/>
                <w:bCs w:val="0"/>
                <w:color w:val="000000"/>
                <w:sz w:val="24"/>
                <w:szCs w:val="24"/>
                <w:lang w:val="en-US" w:eastAsia="zh-CN"/>
              </w:rPr>
              <w:t>尖扎县水利局</w:t>
            </w:r>
            <w:r>
              <w:rPr>
                <w:rFonts w:hint="eastAsia" w:ascii="Times New Roman" w:hAnsi="Times New Roman" w:eastAsia="宋体" w:cs="Times New Roman"/>
                <w:b w:val="0"/>
                <w:bCs w:val="0"/>
                <w:color w:val="000000"/>
                <w:sz w:val="24"/>
                <w:szCs w:val="24"/>
                <w:lang w:eastAsia="zh-CN"/>
              </w:rPr>
              <w:t>配备了环保管理人员，对</w:t>
            </w:r>
            <w:r>
              <w:rPr>
                <w:rFonts w:hint="eastAsia" w:ascii="Times New Roman" w:hAnsi="Times New Roman" w:eastAsia="宋体" w:cs="Times New Roman"/>
                <w:b w:val="0"/>
                <w:bCs w:val="0"/>
                <w:color w:val="000000"/>
                <w:sz w:val="24"/>
                <w:szCs w:val="24"/>
                <w:lang w:val="en-US" w:eastAsia="zh-CN"/>
              </w:rPr>
              <w:t>措周</w:t>
            </w:r>
            <w:r>
              <w:rPr>
                <w:rFonts w:hint="eastAsia" w:ascii="Times New Roman" w:hAnsi="Times New Roman" w:eastAsia="宋体" w:cs="Times New Roman"/>
                <w:b w:val="0"/>
                <w:bCs w:val="0"/>
                <w:color w:val="000000"/>
                <w:sz w:val="24"/>
                <w:szCs w:val="24"/>
                <w:lang w:eastAsia="zh-CN"/>
              </w:rPr>
              <w:t>乡净化水厂设有相应的管理人员；设有专门的档案册，不存在相关环保文件和手续乱放现象，有环评及其批复、各种管理制度等文件。</w:t>
            </w:r>
          </w:p>
        </w:tc>
      </w:tr>
    </w:tbl>
    <w:p>
      <w:pPr>
        <w:jc w:val="both"/>
        <w:rPr>
          <w:rFonts w:eastAsia="仿宋_GB2312"/>
          <w:b/>
          <w:color w:val="000000"/>
          <w:sz w:val="24"/>
          <w:szCs w:val="24"/>
        </w:rPr>
        <w:sectPr>
          <w:pgSz w:w="11906" w:h="16838"/>
          <w:pgMar w:top="1440" w:right="1800" w:bottom="1440" w:left="1800" w:header="708" w:footer="708" w:gutter="0"/>
          <w:pgBorders>
            <w:top w:val="none" w:sz="0" w:space="0"/>
            <w:left w:val="none" w:sz="0" w:space="0"/>
            <w:bottom w:val="none" w:sz="0" w:space="0"/>
            <w:right w:val="none" w:sz="0" w:space="0"/>
          </w:pgBorders>
          <w:pgNumType w:fmt="decimal"/>
          <w:cols w:space="720" w:num="1"/>
          <w:docGrid w:linePitch="360" w:charSpace="0"/>
        </w:sectPr>
      </w:pPr>
    </w:p>
    <w:p>
      <w:pPr>
        <w:spacing w:after="0" w:line="240" w:lineRule="auto"/>
        <w:jc w:val="center"/>
        <w:rPr>
          <w:rFonts w:hint="default" w:ascii="Times New Roman" w:hAnsi="Times New Roman" w:eastAsia="宋体" w:cs="Times New Roman"/>
          <w:b/>
          <w:bCs w:val="0"/>
          <w:color w:val="000000"/>
          <w:sz w:val="21"/>
          <w:szCs w:val="21"/>
        </w:rPr>
      </w:pPr>
      <w:r>
        <w:rPr>
          <w:rFonts w:hint="default" w:ascii="Times New Roman" w:hAnsi="Times New Roman" w:eastAsia="宋体" w:cs="Times New Roman"/>
          <w:b/>
          <w:bCs w:val="0"/>
          <w:color w:val="000000"/>
          <w:sz w:val="21"/>
          <w:szCs w:val="21"/>
        </w:rPr>
        <w:t xml:space="preserve">表3.2-1 </w:t>
      </w:r>
      <w:r>
        <w:rPr>
          <w:rFonts w:hint="eastAsia" w:ascii="Times New Roman" w:hAnsi="Times New Roman" w:eastAsia="宋体" w:cs="Times New Roman"/>
          <w:b/>
          <w:bCs w:val="0"/>
          <w:color w:val="000000"/>
          <w:sz w:val="21"/>
          <w:szCs w:val="21"/>
          <w:lang w:val="en-US" w:eastAsia="zh-CN"/>
        </w:rPr>
        <w:t xml:space="preserve"> </w:t>
      </w:r>
      <w:r>
        <w:rPr>
          <w:rFonts w:hint="default" w:ascii="Times New Roman" w:hAnsi="Times New Roman" w:eastAsia="宋体" w:cs="Times New Roman"/>
          <w:b/>
          <w:bCs w:val="0"/>
          <w:color w:val="000000"/>
          <w:sz w:val="21"/>
          <w:szCs w:val="21"/>
        </w:rPr>
        <w:t>项目环评报告表环保措施落实情况一览表</w:t>
      </w:r>
    </w:p>
    <w:tbl>
      <w:tblPr>
        <w:tblStyle w:val="10"/>
        <w:tblW w:w="5051" w:type="pct"/>
        <w:tblInd w:w="-57"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401"/>
        <w:gridCol w:w="544"/>
        <w:gridCol w:w="6954"/>
        <w:gridCol w:w="5060"/>
        <w:gridCol w:w="1198"/>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18" w:hRule="atLeast"/>
        </w:trPr>
        <w:tc>
          <w:tcPr>
            <w:tcW w:w="334" w:type="pct"/>
            <w:gridSpan w:val="2"/>
            <w:noWrap w:val="0"/>
            <w:tcMar>
              <w:top w:w="0" w:type="dxa"/>
              <w:left w:w="28" w:type="dxa"/>
              <w:bottom w:w="0" w:type="dxa"/>
              <w:right w:w="28" w:type="dxa"/>
            </w:tcMar>
            <w:vAlign w:val="center"/>
          </w:tcPr>
          <w:p>
            <w:pPr>
              <w:keepNext w:val="0"/>
              <w:keepLines w:val="0"/>
              <w:pageBreakBefore w:val="0"/>
              <w:kinsoku/>
              <w:wordWrap/>
              <w:overflowPunct/>
              <w:topLinePunct w:val="0"/>
              <w:autoSpaceDE/>
              <w:autoSpaceDN/>
              <w:bidi w:val="0"/>
              <w:spacing w:after="0" w:line="296" w:lineRule="auto"/>
              <w:jc w:val="center"/>
              <w:textAlignment w:val="auto"/>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lang w:eastAsia="zh-CN"/>
              </w:rPr>
              <w:t>序号</w:t>
            </w:r>
          </w:p>
        </w:tc>
        <w:tc>
          <w:tcPr>
            <w:tcW w:w="2456" w:type="pct"/>
            <w:noWrap w:val="0"/>
            <w:tcMar>
              <w:top w:w="0" w:type="dxa"/>
              <w:left w:w="28" w:type="dxa"/>
              <w:bottom w:w="0" w:type="dxa"/>
              <w:right w:w="28" w:type="dxa"/>
            </w:tcMar>
            <w:vAlign w:val="center"/>
          </w:tcPr>
          <w:p>
            <w:pPr>
              <w:keepNext w:val="0"/>
              <w:keepLines w:val="0"/>
              <w:pageBreakBefore w:val="0"/>
              <w:kinsoku/>
              <w:wordWrap/>
              <w:overflowPunct/>
              <w:topLinePunct w:val="0"/>
              <w:autoSpaceDE/>
              <w:autoSpaceDN/>
              <w:bidi w:val="0"/>
              <w:spacing w:after="0" w:line="296" w:lineRule="auto"/>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lang w:val="en-US" w:eastAsia="zh-CN"/>
              </w:rPr>
              <w:t>环境影响评价报告表中的内容</w:t>
            </w:r>
          </w:p>
        </w:tc>
        <w:tc>
          <w:tcPr>
            <w:tcW w:w="1787" w:type="pct"/>
            <w:noWrap w:val="0"/>
            <w:tcMar>
              <w:top w:w="0" w:type="dxa"/>
              <w:left w:w="28" w:type="dxa"/>
              <w:bottom w:w="0" w:type="dxa"/>
              <w:right w:w="28" w:type="dxa"/>
            </w:tcMar>
            <w:vAlign w:val="center"/>
          </w:tcPr>
          <w:p>
            <w:pPr>
              <w:keepNext w:val="0"/>
              <w:keepLines w:val="0"/>
              <w:pageBreakBefore w:val="0"/>
              <w:kinsoku/>
              <w:wordWrap/>
              <w:overflowPunct/>
              <w:topLinePunct w:val="0"/>
              <w:autoSpaceDE/>
              <w:autoSpaceDN/>
              <w:bidi w:val="0"/>
              <w:spacing w:after="0" w:line="296" w:lineRule="auto"/>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落实情况</w:t>
            </w:r>
          </w:p>
        </w:tc>
        <w:tc>
          <w:tcPr>
            <w:tcW w:w="420" w:type="pct"/>
            <w:noWrap w:val="0"/>
            <w:tcMar>
              <w:top w:w="0" w:type="dxa"/>
              <w:left w:w="28" w:type="dxa"/>
              <w:bottom w:w="0" w:type="dxa"/>
              <w:right w:w="28" w:type="dxa"/>
            </w:tcMar>
            <w:vAlign w:val="center"/>
          </w:tcPr>
          <w:p>
            <w:pPr>
              <w:keepNext w:val="0"/>
              <w:keepLines w:val="0"/>
              <w:pageBreakBefore w:val="0"/>
              <w:kinsoku/>
              <w:wordWrap/>
              <w:overflowPunct/>
              <w:topLinePunct w:val="0"/>
              <w:autoSpaceDE/>
              <w:autoSpaceDN/>
              <w:bidi w:val="0"/>
              <w:spacing w:after="0" w:line="296" w:lineRule="auto"/>
              <w:jc w:val="center"/>
              <w:textAlignment w:val="auto"/>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lang w:eastAsia="zh-CN"/>
              </w:rPr>
              <w:t>备注</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08" w:hRule="atLeast"/>
        </w:trPr>
        <w:tc>
          <w:tcPr>
            <w:tcW w:w="5000" w:type="pct"/>
            <w:gridSpan w:val="5"/>
            <w:noWrap w:val="0"/>
            <w:tcMar>
              <w:top w:w="0" w:type="dxa"/>
              <w:left w:w="28" w:type="dxa"/>
              <w:bottom w:w="0" w:type="dxa"/>
              <w:right w:w="28" w:type="dxa"/>
            </w:tcMar>
            <w:vAlign w:val="center"/>
          </w:tcPr>
          <w:p>
            <w:pPr>
              <w:keepNext w:val="0"/>
              <w:keepLines w:val="0"/>
              <w:pageBreakBefore w:val="0"/>
              <w:kinsoku/>
              <w:wordWrap/>
              <w:overflowPunct/>
              <w:topLinePunct w:val="0"/>
              <w:autoSpaceDE/>
              <w:autoSpaceDN/>
              <w:bidi w:val="0"/>
              <w:spacing w:after="0" w:line="296" w:lineRule="auto"/>
              <w:jc w:val="center"/>
              <w:textAlignment w:val="auto"/>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lang w:eastAsia="zh-CN"/>
              </w:rPr>
              <w:t>一、施工期</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97" w:hRule="atLeast"/>
        </w:trPr>
        <w:tc>
          <w:tcPr>
            <w:tcW w:w="142" w:type="pct"/>
            <w:noWrap w:val="0"/>
            <w:tcMar>
              <w:top w:w="0" w:type="dxa"/>
              <w:left w:w="28" w:type="dxa"/>
              <w:bottom w:w="0" w:type="dxa"/>
              <w:right w:w="28" w:type="dxa"/>
            </w:tcMar>
            <w:vAlign w:val="center"/>
          </w:tcPr>
          <w:p>
            <w:pPr>
              <w:keepNext w:val="0"/>
              <w:keepLines w:val="0"/>
              <w:pageBreakBefore w:val="0"/>
              <w:kinsoku/>
              <w:wordWrap/>
              <w:overflowPunct/>
              <w:topLinePunct w:val="0"/>
              <w:autoSpaceDE/>
              <w:autoSpaceDN/>
              <w:bidi w:val="0"/>
              <w:spacing w:after="0" w:line="296"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92" w:type="pct"/>
            <w:noWrap w:val="0"/>
            <w:tcMar>
              <w:top w:w="0" w:type="dxa"/>
              <w:left w:w="28" w:type="dxa"/>
              <w:bottom w:w="0" w:type="dxa"/>
              <w:right w:w="28" w:type="dxa"/>
            </w:tcMar>
            <w:vAlign w:val="center"/>
          </w:tcPr>
          <w:p>
            <w:pPr>
              <w:keepNext w:val="0"/>
              <w:keepLines w:val="0"/>
              <w:pageBreakBefore w:val="0"/>
              <w:kinsoku/>
              <w:wordWrap/>
              <w:overflowPunct/>
              <w:topLinePunct w:val="0"/>
              <w:autoSpaceDE/>
              <w:autoSpaceDN/>
              <w:bidi w:val="0"/>
              <w:spacing w:after="0" w:line="296"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废气</w:t>
            </w:r>
          </w:p>
        </w:tc>
        <w:tc>
          <w:tcPr>
            <w:tcW w:w="2456" w:type="pct"/>
            <w:noWrap w:val="0"/>
            <w:tcMar>
              <w:top w:w="0" w:type="dxa"/>
              <w:left w:w="28" w:type="dxa"/>
              <w:bottom w:w="0" w:type="dxa"/>
              <w:right w:w="28" w:type="dxa"/>
            </w:tcMar>
            <w:vAlign w:val="center"/>
          </w:tcPr>
          <w:p>
            <w:pPr>
              <w:keepNext w:val="0"/>
              <w:keepLines w:val="0"/>
              <w:pageBreakBefore w:val="0"/>
              <w:kinsoku/>
              <w:wordWrap/>
              <w:overflowPunct/>
              <w:topLinePunct w:val="0"/>
              <w:autoSpaceDE/>
              <w:autoSpaceDN/>
              <w:bidi w:val="0"/>
              <w:spacing w:after="0" w:line="296" w:lineRule="auto"/>
              <w:jc w:val="both"/>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（1）加强文明施工教育，减少人为的因素造成的扬尘。</w:t>
            </w:r>
          </w:p>
          <w:p>
            <w:pPr>
              <w:keepNext w:val="0"/>
              <w:keepLines w:val="0"/>
              <w:pageBreakBefore w:val="0"/>
              <w:kinsoku/>
              <w:wordWrap/>
              <w:overflowPunct/>
              <w:topLinePunct w:val="0"/>
              <w:autoSpaceDE/>
              <w:autoSpaceDN/>
              <w:bidi w:val="0"/>
              <w:spacing w:after="0" w:line="296" w:lineRule="auto"/>
              <w:jc w:val="both"/>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（2）合理安排施工进度，及时回填。</w:t>
            </w:r>
          </w:p>
          <w:p>
            <w:pPr>
              <w:keepNext w:val="0"/>
              <w:keepLines w:val="0"/>
              <w:pageBreakBefore w:val="0"/>
              <w:kinsoku/>
              <w:wordWrap/>
              <w:overflowPunct/>
              <w:topLinePunct w:val="0"/>
              <w:autoSpaceDE/>
              <w:autoSpaceDN/>
              <w:bidi w:val="0"/>
              <w:spacing w:after="0" w:line="296" w:lineRule="auto"/>
              <w:jc w:val="both"/>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（3）施工期间现场定期洒水，防止扬尘，尤其在大风时加大洒水次数及水量。</w:t>
            </w:r>
          </w:p>
          <w:p>
            <w:pPr>
              <w:keepNext w:val="0"/>
              <w:keepLines w:val="0"/>
              <w:pageBreakBefore w:val="0"/>
              <w:kinsoku/>
              <w:wordWrap/>
              <w:overflowPunct/>
              <w:topLinePunct w:val="0"/>
              <w:autoSpaceDE/>
              <w:autoSpaceDN/>
              <w:bidi w:val="0"/>
              <w:spacing w:after="0" w:line="296" w:lineRule="auto"/>
              <w:jc w:val="both"/>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（4）对运渣土车辆应进行覆盖，严禁撒在路上。</w:t>
            </w:r>
          </w:p>
          <w:p>
            <w:pPr>
              <w:keepNext w:val="0"/>
              <w:keepLines w:val="0"/>
              <w:pageBreakBefore w:val="0"/>
              <w:kinsoku/>
              <w:wordWrap/>
              <w:overflowPunct/>
              <w:topLinePunct w:val="0"/>
              <w:autoSpaceDE/>
              <w:autoSpaceDN/>
              <w:bidi w:val="0"/>
              <w:spacing w:after="0" w:line="296" w:lineRule="auto"/>
              <w:jc w:val="both"/>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（5）对施工道路及时进行清扫和冲洗。</w:t>
            </w:r>
          </w:p>
        </w:tc>
        <w:tc>
          <w:tcPr>
            <w:tcW w:w="1787" w:type="pct"/>
            <w:noWrap w:val="0"/>
            <w:tcMar>
              <w:top w:w="0" w:type="dxa"/>
              <w:left w:w="28" w:type="dxa"/>
              <w:bottom w:w="0" w:type="dxa"/>
              <w:right w:w="28" w:type="dxa"/>
            </w:tcMar>
            <w:vAlign w:val="center"/>
          </w:tcPr>
          <w:p>
            <w:pPr>
              <w:keepNext w:val="0"/>
              <w:keepLines w:val="0"/>
              <w:pageBreakBefore w:val="0"/>
              <w:kinsoku/>
              <w:wordWrap/>
              <w:overflowPunct/>
              <w:topLinePunct w:val="0"/>
              <w:autoSpaceDE/>
              <w:autoSpaceDN/>
              <w:bidi w:val="0"/>
              <w:spacing w:after="0" w:line="296" w:lineRule="auto"/>
              <w:jc w:val="both"/>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（1）建筑材料轻装轻卸，运输易产生扬尘材料的车辆减速慢行，并对其进行覆盖篷布等方法处理；</w:t>
            </w:r>
          </w:p>
          <w:p>
            <w:pPr>
              <w:keepNext w:val="0"/>
              <w:keepLines w:val="0"/>
              <w:pageBreakBefore w:val="0"/>
              <w:kinsoku/>
              <w:wordWrap/>
              <w:overflowPunct/>
              <w:topLinePunct w:val="0"/>
              <w:autoSpaceDE/>
              <w:autoSpaceDN/>
              <w:bidi w:val="0"/>
              <w:spacing w:after="0" w:line="296" w:lineRule="auto"/>
              <w:jc w:val="both"/>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（2）施工期间现场定期洒水，防止扬尘，尤其在大风时加大洒水次数及水量。</w:t>
            </w:r>
          </w:p>
          <w:p>
            <w:pPr>
              <w:keepNext w:val="0"/>
              <w:keepLines w:val="0"/>
              <w:pageBreakBefore w:val="0"/>
              <w:kinsoku/>
              <w:wordWrap/>
              <w:overflowPunct/>
              <w:topLinePunct w:val="0"/>
              <w:autoSpaceDE/>
              <w:autoSpaceDN/>
              <w:bidi w:val="0"/>
              <w:spacing w:after="0" w:line="296" w:lineRule="auto"/>
              <w:jc w:val="both"/>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（3）建筑所用的各类材料应集中在堆放场堆放，</w:t>
            </w:r>
            <w:r>
              <w:rPr>
                <w:rFonts w:hint="eastAsia" w:ascii="Times New Roman" w:hAnsi="Times New Roman" w:eastAsia="宋体" w:cs="Times New Roman"/>
                <w:b w:val="0"/>
                <w:bCs w:val="0"/>
                <w:color w:val="auto"/>
                <w:sz w:val="21"/>
                <w:szCs w:val="21"/>
                <w:lang w:val="en-US" w:eastAsia="zh-CN"/>
              </w:rPr>
              <w:t>并覆盖</w:t>
            </w:r>
            <w:r>
              <w:rPr>
                <w:rFonts w:hint="default" w:ascii="Times New Roman" w:hAnsi="Times New Roman" w:eastAsia="宋体" w:cs="Times New Roman"/>
                <w:b w:val="0"/>
                <w:bCs w:val="0"/>
                <w:color w:val="auto"/>
                <w:sz w:val="21"/>
                <w:szCs w:val="21"/>
              </w:rPr>
              <w:t>抑尘</w:t>
            </w:r>
            <w:r>
              <w:rPr>
                <w:rFonts w:hint="eastAsia" w:ascii="Times New Roman" w:hAnsi="Times New Roman" w:eastAsia="宋体" w:cs="Times New Roman"/>
                <w:b w:val="0"/>
                <w:bCs w:val="0"/>
                <w:color w:val="auto"/>
                <w:sz w:val="21"/>
                <w:szCs w:val="21"/>
                <w:lang w:val="en-US" w:eastAsia="zh-CN"/>
              </w:rPr>
              <w:t>网</w:t>
            </w:r>
            <w:r>
              <w:rPr>
                <w:rFonts w:hint="default" w:ascii="Times New Roman" w:hAnsi="Times New Roman" w:eastAsia="宋体" w:cs="Times New Roman"/>
                <w:b w:val="0"/>
                <w:bCs w:val="0"/>
                <w:color w:val="auto"/>
                <w:sz w:val="21"/>
                <w:szCs w:val="21"/>
              </w:rPr>
              <w:t>；</w:t>
            </w:r>
          </w:p>
          <w:p>
            <w:pPr>
              <w:keepNext w:val="0"/>
              <w:keepLines w:val="0"/>
              <w:pageBreakBefore w:val="0"/>
              <w:kinsoku/>
              <w:wordWrap/>
              <w:overflowPunct/>
              <w:topLinePunct w:val="0"/>
              <w:autoSpaceDE/>
              <w:autoSpaceDN/>
              <w:bidi w:val="0"/>
              <w:spacing w:after="0" w:line="296" w:lineRule="auto"/>
              <w:jc w:val="both"/>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（4）大风天气（四级及四级以上，风速7m/s以上）时，停止土方开挖、渣料清运等易产生扬尘的作业；</w:t>
            </w:r>
          </w:p>
          <w:p>
            <w:pPr>
              <w:keepNext w:val="0"/>
              <w:keepLines w:val="0"/>
              <w:pageBreakBefore w:val="0"/>
              <w:kinsoku/>
              <w:wordWrap/>
              <w:overflowPunct/>
              <w:topLinePunct w:val="0"/>
              <w:autoSpaceDE/>
              <w:autoSpaceDN/>
              <w:bidi w:val="0"/>
              <w:spacing w:after="0" w:line="296" w:lineRule="auto"/>
              <w:jc w:val="both"/>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rPr>
              <w:t>（</w:t>
            </w:r>
            <w:r>
              <w:rPr>
                <w:rFonts w:hint="eastAsia" w:ascii="Times New Roman" w:hAnsi="Times New Roman" w:eastAsia="宋体" w:cs="Times New Roman"/>
                <w:b w:val="0"/>
                <w:bCs w:val="0"/>
                <w:color w:val="auto"/>
                <w:sz w:val="21"/>
                <w:szCs w:val="21"/>
                <w:lang w:val="en-US" w:eastAsia="zh-CN"/>
              </w:rPr>
              <w:t>5</w:t>
            </w:r>
            <w:r>
              <w:rPr>
                <w:rFonts w:hint="default" w:ascii="Times New Roman" w:hAnsi="Times New Roman" w:eastAsia="宋体" w:cs="Times New Roman"/>
                <w:b w:val="0"/>
                <w:bCs w:val="0"/>
                <w:color w:val="auto"/>
                <w:sz w:val="21"/>
                <w:szCs w:val="21"/>
              </w:rPr>
              <w:t>）施工范围及运输车辆线路严格控制，禁止在规定范围外施工或运输，避免扩大扬尘污染范围。</w:t>
            </w:r>
          </w:p>
        </w:tc>
        <w:tc>
          <w:tcPr>
            <w:tcW w:w="420" w:type="pct"/>
            <w:noWrap w:val="0"/>
            <w:tcMar>
              <w:top w:w="0" w:type="dxa"/>
              <w:left w:w="28" w:type="dxa"/>
              <w:bottom w:w="0" w:type="dxa"/>
              <w:right w:w="28" w:type="dxa"/>
            </w:tcMar>
            <w:vAlign w:val="center"/>
          </w:tcPr>
          <w:p>
            <w:pPr>
              <w:keepNext w:val="0"/>
              <w:keepLines w:val="0"/>
              <w:pageBreakBefore w:val="0"/>
              <w:kinsoku/>
              <w:wordWrap/>
              <w:overflowPunct/>
              <w:topLinePunct w:val="0"/>
              <w:autoSpaceDE/>
              <w:autoSpaceDN/>
              <w:bidi w:val="0"/>
              <w:spacing w:after="0" w:line="296" w:lineRule="auto"/>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已落实</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46" w:hRule="atLeast"/>
        </w:trPr>
        <w:tc>
          <w:tcPr>
            <w:tcW w:w="142" w:type="pct"/>
            <w:noWrap w:val="0"/>
            <w:tcMar>
              <w:top w:w="0" w:type="dxa"/>
              <w:left w:w="28" w:type="dxa"/>
              <w:bottom w:w="0" w:type="dxa"/>
              <w:right w:w="28" w:type="dxa"/>
            </w:tcMar>
            <w:vAlign w:val="center"/>
          </w:tcPr>
          <w:p>
            <w:pPr>
              <w:keepNext w:val="0"/>
              <w:keepLines w:val="0"/>
              <w:pageBreakBefore w:val="0"/>
              <w:kinsoku/>
              <w:wordWrap/>
              <w:overflowPunct/>
              <w:topLinePunct w:val="0"/>
              <w:autoSpaceDE/>
              <w:autoSpaceDN/>
              <w:bidi w:val="0"/>
              <w:spacing w:after="0" w:line="296"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c>
          <w:tcPr>
            <w:tcW w:w="192" w:type="pct"/>
            <w:noWrap w:val="0"/>
            <w:tcMar>
              <w:top w:w="0" w:type="dxa"/>
              <w:left w:w="28" w:type="dxa"/>
              <w:bottom w:w="0" w:type="dxa"/>
              <w:right w:w="28" w:type="dxa"/>
            </w:tcMar>
            <w:vAlign w:val="center"/>
          </w:tcPr>
          <w:p>
            <w:pPr>
              <w:keepNext w:val="0"/>
              <w:keepLines w:val="0"/>
              <w:pageBreakBefore w:val="0"/>
              <w:kinsoku/>
              <w:wordWrap/>
              <w:overflowPunct/>
              <w:topLinePunct w:val="0"/>
              <w:autoSpaceDE/>
              <w:autoSpaceDN/>
              <w:bidi w:val="0"/>
              <w:spacing w:after="0" w:line="296"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废水</w:t>
            </w:r>
          </w:p>
        </w:tc>
        <w:tc>
          <w:tcPr>
            <w:tcW w:w="2456" w:type="pct"/>
            <w:noWrap w:val="0"/>
            <w:tcMar>
              <w:top w:w="0" w:type="dxa"/>
              <w:left w:w="28" w:type="dxa"/>
              <w:bottom w:w="0" w:type="dxa"/>
              <w:right w:w="28" w:type="dxa"/>
            </w:tcMar>
            <w:vAlign w:val="center"/>
          </w:tcPr>
          <w:p>
            <w:pPr>
              <w:keepNext w:val="0"/>
              <w:keepLines w:val="0"/>
              <w:pageBreakBefore w:val="0"/>
              <w:numPr>
                <w:ilvl w:val="0"/>
                <w:numId w:val="2"/>
              </w:numPr>
              <w:kinsoku/>
              <w:wordWrap/>
              <w:overflowPunct/>
              <w:topLinePunct w:val="0"/>
              <w:autoSpaceDE/>
              <w:autoSpaceDN/>
              <w:bidi w:val="0"/>
              <w:spacing w:after="0" w:line="296" w:lineRule="auto"/>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施工人员生活污水利用周边村庄已有旱厕.</w:t>
            </w:r>
          </w:p>
          <w:p>
            <w:pPr>
              <w:keepNext w:val="0"/>
              <w:keepLines w:val="0"/>
              <w:pageBreakBefore w:val="0"/>
              <w:numPr>
                <w:ilvl w:val="0"/>
                <w:numId w:val="2"/>
              </w:numPr>
              <w:kinsoku/>
              <w:wordWrap/>
              <w:overflowPunct/>
              <w:topLinePunct w:val="0"/>
              <w:autoSpaceDE/>
              <w:autoSpaceDN/>
              <w:bidi w:val="0"/>
              <w:spacing w:after="0" w:line="296" w:lineRule="auto"/>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施工期间施工废水经沉淀池沉淀后回用于施工不外排。</w:t>
            </w:r>
          </w:p>
        </w:tc>
        <w:tc>
          <w:tcPr>
            <w:tcW w:w="1787" w:type="pct"/>
            <w:noWrap w:val="0"/>
            <w:tcMar>
              <w:top w:w="0" w:type="dxa"/>
              <w:left w:w="28" w:type="dxa"/>
              <w:bottom w:w="0" w:type="dxa"/>
              <w:right w:w="28" w:type="dxa"/>
            </w:tcMar>
            <w:vAlign w:val="center"/>
          </w:tcPr>
          <w:p>
            <w:pPr>
              <w:keepNext w:val="0"/>
              <w:keepLines w:val="0"/>
              <w:pageBreakBefore w:val="0"/>
              <w:kinsoku/>
              <w:wordWrap/>
              <w:overflowPunct/>
              <w:topLinePunct w:val="0"/>
              <w:autoSpaceDE/>
              <w:autoSpaceDN/>
              <w:bidi w:val="0"/>
              <w:spacing w:after="0" w:line="296" w:lineRule="auto"/>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施工人员生活污水依托周边现有的设施，</w:t>
            </w:r>
            <w:r>
              <w:rPr>
                <w:rFonts w:hint="eastAsia" w:ascii="Times New Roman" w:hAnsi="Times New Roman" w:eastAsia="宋体" w:cs="Times New Roman"/>
                <w:sz w:val="21"/>
                <w:szCs w:val="21"/>
                <w:lang w:val="en-US" w:eastAsia="zh-CN"/>
              </w:rPr>
              <w:t>施工废水</w:t>
            </w:r>
            <w:r>
              <w:rPr>
                <w:rFonts w:hint="default" w:ascii="Times New Roman" w:hAnsi="Times New Roman" w:eastAsia="宋体" w:cs="Times New Roman"/>
                <w:sz w:val="21"/>
                <w:szCs w:val="21"/>
                <w:lang w:val="en-US" w:eastAsia="zh-CN"/>
              </w:rPr>
              <w:t>经收集沉淀后回用于项目施工场地洒水抑尘，不外排。项目施工期间无废水外排污染事件发生。</w:t>
            </w:r>
          </w:p>
        </w:tc>
        <w:tc>
          <w:tcPr>
            <w:tcW w:w="420" w:type="pct"/>
            <w:noWrap w:val="0"/>
            <w:tcMar>
              <w:top w:w="0" w:type="dxa"/>
              <w:left w:w="28" w:type="dxa"/>
              <w:bottom w:w="0" w:type="dxa"/>
              <w:right w:w="28" w:type="dxa"/>
            </w:tcMar>
            <w:vAlign w:val="center"/>
          </w:tcPr>
          <w:p>
            <w:pPr>
              <w:keepNext w:val="0"/>
              <w:keepLines w:val="0"/>
              <w:pageBreakBefore w:val="0"/>
              <w:kinsoku/>
              <w:wordWrap/>
              <w:overflowPunct/>
              <w:topLinePunct w:val="0"/>
              <w:autoSpaceDE/>
              <w:autoSpaceDN/>
              <w:bidi w:val="0"/>
              <w:spacing w:after="0" w:line="296" w:lineRule="auto"/>
              <w:jc w:val="center"/>
              <w:textAlignment w:val="auto"/>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已落实</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142" w:type="pct"/>
            <w:noWrap w:val="0"/>
            <w:tcMar>
              <w:top w:w="0" w:type="dxa"/>
              <w:left w:w="28" w:type="dxa"/>
              <w:bottom w:w="0" w:type="dxa"/>
              <w:right w:w="28" w:type="dxa"/>
            </w:tcMar>
            <w:vAlign w:val="center"/>
          </w:tcPr>
          <w:p>
            <w:pPr>
              <w:keepNext w:val="0"/>
              <w:keepLines w:val="0"/>
              <w:pageBreakBefore w:val="0"/>
              <w:kinsoku/>
              <w:wordWrap/>
              <w:overflowPunct/>
              <w:topLinePunct w:val="0"/>
              <w:autoSpaceDE/>
              <w:autoSpaceDN/>
              <w:bidi w:val="0"/>
              <w:spacing w:after="0" w:line="296"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3</w:t>
            </w:r>
          </w:p>
        </w:tc>
        <w:tc>
          <w:tcPr>
            <w:tcW w:w="192" w:type="pct"/>
            <w:noWrap w:val="0"/>
            <w:tcMar>
              <w:top w:w="0" w:type="dxa"/>
              <w:left w:w="28" w:type="dxa"/>
              <w:bottom w:w="0" w:type="dxa"/>
              <w:right w:w="28" w:type="dxa"/>
            </w:tcMar>
            <w:vAlign w:val="center"/>
          </w:tcPr>
          <w:p>
            <w:pPr>
              <w:keepNext w:val="0"/>
              <w:keepLines w:val="0"/>
              <w:pageBreakBefore w:val="0"/>
              <w:kinsoku/>
              <w:wordWrap/>
              <w:overflowPunct/>
              <w:topLinePunct w:val="0"/>
              <w:autoSpaceDE/>
              <w:autoSpaceDN/>
              <w:bidi w:val="0"/>
              <w:spacing w:after="0" w:line="296"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噪声</w:t>
            </w:r>
          </w:p>
        </w:tc>
        <w:tc>
          <w:tcPr>
            <w:tcW w:w="2456" w:type="pct"/>
            <w:noWrap w:val="0"/>
            <w:tcMar>
              <w:top w:w="0" w:type="dxa"/>
              <w:left w:w="28" w:type="dxa"/>
              <w:bottom w:w="0" w:type="dxa"/>
              <w:right w:w="28" w:type="dxa"/>
            </w:tcMar>
            <w:vAlign w:val="center"/>
          </w:tcPr>
          <w:p>
            <w:pPr>
              <w:keepNext w:val="0"/>
              <w:keepLines w:val="0"/>
              <w:pageBreakBefore w:val="0"/>
              <w:kinsoku/>
              <w:wordWrap/>
              <w:overflowPunct/>
              <w:topLinePunct w:val="0"/>
              <w:autoSpaceDE/>
              <w:autoSpaceDN/>
              <w:bidi w:val="0"/>
              <w:spacing w:after="0" w:line="296"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（1）合理安排施工时间，避免在居民正常休息时及夜间施工，同时合理安排高噪声施工设备的操作时间。</w:t>
            </w:r>
          </w:p>
          <w:p>
            <w:pPr>
              <w:keepNext w:val="0"/>
              <w:keepLines w:val="0"/>
              <w:pageBreakBefore w:val="0"/>
              <w:kinsoku/>
              <w:wordWrap/>
              <w:overflowPunct/>
              <w:topLinePunct w:val="0"/>
              <w:autoSpaceDE/>
              <w:autoSpaceDN/>
              <w:bidi w:val="0"/>
              <w:spacing w:after="0" w:line="296"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（2）加强管理，降低人为噪声；禁止在材料装卸过程中野蛮装卸。</w:t>
            </w:r>
          </w:p>
          <w:p>
            <w:pPr>
              <w:keepNext w:val="0"/>
              <w:keepLines w:val="0"/>
              <w:pageBreakBefore w:val="0"/>
              <w:kinsoku/>
              <w:wordWrap/>
              <w:overflowPunct/>
              <w:topLinePunct w:val="0"/>
              <w:autoSpaceDE/>
              <w:autoSpaceDN/>
              <w:bidi w:val="0"/>
              <w:spacing w:after="0" w:line="296"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（3）建立临时围挡，减少噪声对周围敏感点的环境影响。</w:t>
            </w:r>
          </w:p>
          <w:p>
            <w:pPr>
              <w:keepNext w:val="0"/>
              <w:keepLines w:val="0"/>
              <w:pageBreakBefore w:val="0"/>
              <w:kinsoku/>
              <w:wordWrap/>
              <w:overflowPunct/>
              <w:topLinePunct w:val="0"/>
              <w:autoSpaceDE/>
              <w:autoSpaceDN/>
              <w:bidi w:val="0"/>
              <w:spacing w:after="0" w:line="296"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（4）优化运输车辆路线。同时要求运输车辆在途经村庄、学校等敏感点时降低车速，禁止鸣笛，同时要求运输集中在昼间运行，夜间应避免土方及物料运输。以降低噪声。</w:t>
            </w:r>
          </w:p>
          <w:p>
            <w:pPr>
              <w:keepNext w:val="0"/>
              <w:keepLines w:val="0"/>
              <w:pageBreakBefore w:val="0"/>
              <w:kinsoku/>
              <w:wordWrap/>
              <w:overflowPunct/>
              <w:topLinePunct w:val="0"/>
              <w:autoSpaceDE/>
              <w:autoSpaceDN/>
              <w:bidi w:val="0"/>
              <w:spacing w:after="0" w:line="296"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（5）加强设备的维护和保养，保持机械润滑，降低运行噪声。运输建筑材料的车辆，要做好车辆的维修保养工作。</w:t>
            </w:r>
          </w:p>
          <w:p>
            <w:pPr>
              <w:keepNext w:val="0"/>
              <w:keepLines w:val="0"/>
              <w:pageBreakBefore w:val="0"/>
              <w:kinsoku/>
              <w:wordWrap/>
              <w:overflowPunct/>
              <w:topLinePunct w:val="0"/>
              <w:autoSpaceDE/>
              <w:autoSpaceDN/>
              <w:bidi w:val="0"/>
              <w:spacing w:after="0" w:line="296"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（6）提倡文明施工，增强施工人员的环保意识，提高防止噪声扰民的自觉性，按照规定操作机械设备。</w:t>
            </w:r>
          </w:p>
        </w:tc>
        <w:tc>
          <w:tcPr>
            <w:tcW w:w="1787" w:type="pct"/>
            <w:noWrap w:val="0"/>
            <w:tcMar>
              <w:top w:w="0" w:type="dxa"/>
              <w:left w:w="28" w:type="dxa"/>
              <w:bottom w:w="0" w:type="dxa"/>
              <w:right w:w="28" w:type="dxa"/>
            </w:tcMar>
            <w:vAlign w:val="center"/>
          </w:tcPr>
          <w:p>
            <w:pPr>
              <w:keepNext w:val="0"/>
              <w:keepLines w:val="0"/>
              <w:pageBreakBefore w:val="0"/>
              <w:kinsoku/>
              <w:wordWrap/>
              <w:overflowPunct/>
              <w:topLinePunct w:val="0"/>
              <w:autoSpaceDE/>
              <w:autoSpaceDN/>
              <w:bidi w:val="0"/>
              <w:spacing w:after="0" w:line="296" w:lineRule="auto"/>
              <w:jc w:val="lef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 xml:space="preserve">项目已选用低噪声的施工机械；合理安排了施工工序；加强施工设备的维护保养，现施工期已结束，未发现施工噪声扰民现象。 </w:t>
            </w:r>
          </w:p>
        </w:tc>
        <w:tc>
          <w:tcPr>
            <w:tcW w:w="420" w:type="pct"/>
            <w:noWrap w:val="0"/>
            <w:tcMar>
              <w:top w:w="0" w:type="dxa"/>
              <w:left w:w="28" w:type="dxa"/>
              <w:bottom w:w="0" w:type="dxa"/>
              <w:right w:w="28" w:type="dxa"/>
            </w:tcMar>
            <w:vAlign w:val="center"/>
          </w:tcPr>
          <w:p>
            <w:pPr>
              <w:keepNext w:val="0"/>
              <w:keepLines w:val="0"/>
              <w:pageBreakBefore w:val="0"/>
              <w:kinsoku/>
              <w:wordWrap/>
              <w:overflowPunct/>
              <w:topLinePunct w:val="0"/>
              <w:autoSpaceDE/>
              <w:autoSpaceDN/>
              <w:bidi w:val="0"/>
              <w:spacing w:after="0" w:line="296" w:lineRule="auto"/>
              <w:jc w:val="center"/>
              <w:textAlignment w:val="auto"/>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已落实</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447" w:hRule="atLeast"/>
        </w:trPr>
        <w:tc>
          <w:tcPr>
            <w:tcW w:w="142" w:type="pct"/>
            <w:noWrap w:val="0"/>
            <w:tcMar>
              <w:top w:w="0" w:type="dxa"/>
              <w:left w:w="28" w:type="dxa"/>
              <w:bottom w:w="0" w:type="dxa"/>
              <w:right w:w="28" w:type="dxa"/>
            </w:tcMar>
            <w:vAlign w:val="center"/>
          </w:tcPr>
          <w:p>
            <w:pPr>
              <w:keepNext w:val="0"/>
              <w:keepLines w:val="0"/>
              <w:pageBreakBefore w:val="0"/>
              <w:kinsoku/>
              <w:wordWrap/>
              <w:overflowPunct/>
              <w:topLinePunct w:val="0"/>
              <w:autoSpaceDE/>
              <w:autoSpaceDN/>
              <w:bidi w:val="0"/>
              <w:spacing w:after="0" w:line="296"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4</w:t>
            </w:r>
          </w:p>
        </w:tc>
        <w:tc>
          <w:tcPr>
            <w:tcW w:w="192" w:type="pct"/>
            <w:noWrap w:val="0"/>
            <w:tcMar>
              <w:top w:w="0" w:type="dxa"/>
              <w:left w:w="28" w:type="dxa"/>
              <w:bottom w:w="0" w:type="dxa"/>
              <w:right w:w="28" w:type="dxa"/>
            </w:tcMar>
            <w:vAlign w:val="center"/>
          </w:tcPr>
          <w:p>
            <w:pPr>
              <w:keepNext w:val="0"/>
              <w:keepLines w:val="0"/>
              <w:pageBreakBefore w:val="0"/>
              <w:kinsoku/>
              <w:wordWrap/>
              <w:overflowPunct/>
              <w:topLinePunct w:val="0"/>
              <w:autoSpaceDE/>
              <w:autoSpaceDN/>
              <w:bidi w:val="0"/>
              <w:spacing w:after="0" w:line="296"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固废</w:t>
            </w:r>
          </w:p>
        </w:tc>
        <w:tc>
          <w:tcPr>
            <w:tcW w:w="2456" w:type="pct"/>
            <w:noWrap w:val="0"/>
            <w:tcMar>
              <w:top w:w="0" w:type="dxa"/>
              <w:left w:w="28" w:type="dxa"/>
              <w:bottom w:w="0" w:type="dxa"/>
              <w:right w:w="28" w:type="dxa"/>
            </w:tcMar>
            <w:vAlign w:val="center"/>
          </w:tcPr>
          <w:p>
            <w:pPr>
              <w:pStyle w:val="9"/>
              <w:keepNext w:val="0"/>
              <w:keepLines w:val="0"/>
              <w:pageBreakBefore w:val="0"/>
              <w:widowControl w:val="0"/>
              <w:kinsoku/>
              <w:wordWrap/>
              <w:overflowPunct/>
              <w:topLinePunct w:val="0"/>
              <w:autoSpaceDE/>
              <w:autoSpaceDN/>
              <w:bidi w:val="0"/>
              <w:adjustRightInd/>
              <w:snapToGrid/>
              <w:spacing w:after="0" w:line="296" w:lineRule="auto"/>
              <w:ind w:left="0" w:leftChars="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lang w:val="en-US" w:eastAsia="zh-CN"/>
              </w:rPr>
              <w:t>生活垃圾要实行袋装化收集，定点集中堆放、专人外运，垃圾处理方式采用填埋式无害化处理方式</w:t>
            </w:r>
            <w:r>
              <w:rPr>
                <w:rFonts w:hint="eastAsia" w:ascii="Times New Roman" w:hAnsi="Times New Roman" w:eastAsia="宋体" w:cs="Times New Roman"/>
                <w:sz w:val="21"/>
                <w:szCs w:val="21"/>
                <w:lang w:val="en-US" w:eastAsia="zh-CN"/>
              </w:rPr>
              <w:t>。</w:t>
            </w:r>
          </w:p>
          <w:p>
            <w:pPr>
              <w:pStyle w:val="9"/>
              <w:keepNext w:val="0"/>
              <w:keepLines w:val="0"/>
              <w:pageBreakBefore w:val="0"/>
              <w:widowControl w:val="0"/>
              <w:kinsoku/>
              <w:wordWrap/>
              <w:overflowPunct/>
              <w:topLinePunct w:val="0"/>
              <w:autoSpaceDE/>
              <w:autoSpaceDN/>
              <w:bidi w:val="0"/>
              <w:adjustRightInd/>
              <w:snapToGrid/>
              <w:spacing w:after="0" w:line="296" w:lineRule="auto"/>
              <w:ind w:left="0" w:leftChars="0"/>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lang w:val="en-US" w:eastAsia="zh-CN"/>
              </w:rPr>
              <w:t>建筑垃圾大多数可就地回收利用，无法回收的</w:t>
            </w:r>
            <w:r>
              <w:rPr>
                <w:rFonts w:hint="eastAsia" w:ascii="Times New Roman" w:hAnsi="Times New Roman" w:eastAsia="宋体" w:cs="Times New Roman"/>
                <w:sz w:val="21"/>
                <w:szCs w:val="21"/>
                <w:lang w:val="en-US" w:eastAsia="zh-CN"/>
              </w:rPr>
              <w:t>统一</w:t>
            </w:r>
            <w:r>
              <w:rPr>
                <w:rFonts w:hint="default" w:ascii="Times New Roman" w:hAnsi="Times New Roman" w:eastAsia="宋体" w:cs="Times New Roman"/>
                <w:sz w:val="21"/>
                <w:szCs w:val="21"/>
                <w:lang w:val="en-US" w:eastAsia="zh-CN"/>
              </w:rPr>
              <w:t>收集拉运至尖扎县规划部门指定的建筑垃圾处置场所妥善处置</w:t>
            </w:r>
          </w:p>
          <w:p>
            <w:pPr>
              <w:pStyle w:val="9"/>
              <w:keepNext w:val="0"/>
              <w:keepLines w:val="0"/>
              <w:pageBreakBefore w:val="0"/>
              <w:widowControl w:val="0"/>
              <w:kinsoku/>
              <w:wordWrap/>
              <w:overflowPunct/>
              <w:topLinePunct w:val="0"/>
              <w:autoSpaceDE/>
              <w:autoSpaceDN/>
              <w:bidi w:val="0"/>
              <w:adjustRightInd/>
              <w:snapToGrid/>
              <w:spacing w:after="0" w:line="296" w:lineRule="auto"/>
              <w:ind w:left="0" w:left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①施工过程中应及时将固体废物运往尖扎县规划部门指定的处置场所妥善处置，不得随意抛弃、转移和扩散，严防制造新的“垃圾堆场”；</w:t>
            </w:r>
          </w:p>
          <w:p>
            <w:pPr>
              <w:pStyle w:val="9"/>
              <w:keepNext w:val="0"/>
              <w:keepLines w:val="0"/>
              <w:pageBreakBefore w:val="0"/>
              <w:widowControl w:val="0"/>
              <w:kinsoku/>
              <w:wordWrap/>
              <w:overflowPunct/>
              <w:topLinePunct w:val="0"/>
              <w:autoSpaceDE/>
              <w:autoSpaceDN/>
              <w:bidi w:val="0"/>
              <w:adjustRightInd/>
              <w:snapToGrid/>
              <w:spacing w:after="0" w:line="296" w:lineRule="auto"/>
              <w:ind w:left="0" w:left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②建筑垃圾中有回收利用价值的旧砖、木料和钢筋等，可分类回收再利用，做到垃圾“减量化、资源化”。</w:t>
            </w:r>
          </w:p>
          <w:p>
            <w:pPr>
              <w:pStyle w:val="9"/>
              <w:keepNext w:val="0"/>
              <w:keepLines w:val="0"/>
              <w:pageBreakBefore w:val="0"/>
              <w:widowControl w:val="0"/>
              <w:kinsoku/>
              <w:wordWrap/>
              <w:overflowPunct/>
              <w:topLinePunct w:val="0"/>
              <w:autoSpaceDE/>
              <w:autoSpaceDN/>
              <w:bidi w:val="0"/>
              <w:adjustRightInd/>
              <w:snapToGrid/>
              <w:spacing w:after="0" w:line="296" w:lineRule="auto"/>
              <w:ind w:left="0" w:left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③建筑垃圾在运输过程中严格执行城市建筑垃圾和工程渣土管理办法，运输车辆应有防撒落、飘扬、滴漏的措施，实行密闭加盖；</w:t>
            </w:r>
          </w:p>
        </w:tc>
        <w:tc>
          <w:tcPr>
            <w:tcW w:w="1787" w:type="pct"/>
            <w:noWrap w:val="0"/>
            <w:tcMar>
              <w:top w:w="0" w:type="dxa"/>
              <w:left w:w="28" w:type="dxa"/>
              <w:bottom w:w="0" w:type="dxa"/>
              <w:right w:w="28"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after="0" w:line="296" w:lineRule="auto"/>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施工人员生活垃圾经垃圾桶收集后定期清运至生活垃圾填埋场处理；</w:t>
            </w:r>
          </w:p>
          <w:p>
            <w:pPr>
              <w:keepNext w:val="0"/>
              <w:keepLines w:val="0"/>
              <w:pageBreakBefore w:val="0"/>
              <w:widowControl/>
              <w:numPr>
                <w:ilvl w:val="0"/>
                <w:numId w:val="0"/>
              </w:numPr>
              <w:suppressLineNumbers w:val="0"/>
              <w:kinsoku/>
              <w:wordWrap/>
              <w:overflowPunct/>
              <w:topLinePunct w:val="0"/>
              <w:autoSpaceDE/>
              <w:autoSpaceDN/>
              <w:bidi w:val="0"/>
              <w:spacing w:after="0" w:line="296" w:lineRule="auto"/>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建筑垃圾大多数可就地回收利用，无法回收的同一收集拉至当地建筑垃圾填埋场填埋。</w:t>
            </w:r>
          </w:p>
          <w:p>
            <w:pPr>
              <w:keepNext w:val="0"/>
              <w:keepLines w:val="0"/>
              <w:pageBreakBefore w:val="0"/>
              <w:kinsoku/>
              <w:wordWrap/>
              <w:overflowPunct/>
              <w:topLinePunct w:val="0"/>
              <w:autoSpaceDE/>
              <w:autoSpaceDN/>
              <w:bidi w:val="0"/>
              <w:spacing w:after="0" w:line="296" w:lineRule="auto"/>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施工期建筑垃圾已全部消纳处置；项目施工期产生的环境影响随施工结束而消失。</w:t>
            </w:r>
          </w:p>
          <w:p>
            <w:pPr>
              <w:keepNext w:val="0"/>
              <w:keepLines w:val="0"/>
              <w:pageBreakBefore w:val="0"/>
              <w:kinsoku/>
              <w:wordWrap/>
              <w:overflowPunct/>
              <w:topLinePunct w:val="0"/>
              <w:autoSpaceDE/>
              <w:autoSpaceDN/>
              <w:bidi w:val="0"/>
              <w:spacing w:after="0" w:line="296" w:lineRule="auto"/>
              <w:jc w:val="left"/>
              <w:textAlignment w:val="auto"/>
              <w:rPr>
                <w:rFonts w:hint="default" w:ascii="Times New Roman" w:hAnsi="Times New Roman" w:eastAsia="宋体" w:cs="Times New Roman"/>
                <w:sz w:val="21"/>
                <w:szCs w:val="21"/>
              </w:rPr>
            </w:pPr>
          </w:p>
        </w:tc>
        <w:tc>
          <w:tcPr>
            <w:tcW w:w="420" w:type="pct"/>
            <w:noWrap w:val="0"/>
            <w:tcMar>
              <w:top w:w="0" w:type="dxa"/>
              <w:left w:w="28" w:type="dxa"/>
              <w:bottom w:w="0" w:type="dxa"/>
              <w:right w:w="28" w:type="dxa"/>
            </w:tcMar>
            <w:vAlign w:val="center"/>
          </w:tcPr>
          <w:p>
            <w:pPr>
              <w:keepNext w:val="0"/>
              <w:keepLines w:val="0"/>
              <w:pageBreakBefore w:val="0"/>
              <w:kinsoku/>
              <w:wordWrap/>
              <w:overflowPunct/>
              <w:topLinePunct w:val="0"/>
              <w:autoSpaceDE/>
              <w:autoSpaceDN/>
              <w:bidi w:val="0"/>
              <w:spacing w:after="0" w:line="296" w:lineRule="auto"/>
              <w:jc w:val="center"/>
              <w:textAlignment w:val="auto"/>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已落实</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13" w:hRule="atLeast"/>
        </w:trPr>
        <w:tc>
          <w:tcPr>
            <w:tcW w:w="5000" w:type="pct"/>
            <w:gridSpan w:val="5"/>
            <w:noWrap w:val="0"/>
            <w:tcMar>
              <w:top w:w="0" w:type="dxa"/>
              <w:left w:w="28" w:type="dxa"/>
              <w:bottom w:w="0" w:type="dxa"/>
              <w:right w:w="28" w:type="dxa"/>
            </w:tcMar>
            <w:vAlign w:val="center"/>
          </w:tcPr>
          <w:p>
            <w:pPr>
              <w:keepNext w:val="0"/>
              <w:keepLines w:val="0"/>
              <w:pageBreakBefore w:val="0"/>
              <w:kinsoku/>
              <w:wordWrap/>
              <w:overflowPunct/>
              <w:topLinePunct w:val="0"/>
              <w:autoSpaceDE/>
              <w:autoSpaceDN/>
              <w:bidi w:val="0"/>
              <w:spacing w:after="0" w:line="296" w:lineRule="auto"/>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b/>
                <w:bCs/>
                <w:color w:val="auto"/>
                <w:sz w:val="21"/>
                <w:szCs w:val="21"/>
                <w:lang w:eastAsia="zh-CN"/>
              </w:rPr>
              <w:t>二、运营期</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894" w:hRule="atLeast"/>
        </w:trPr>
        <w:tc>
          <w:tcPr>
            <w:tcW w:w="142" w:type="pct"/>
            <w:noWrap w:val="0"/>
            <w:tcMar>
              <w:top w:w="0" w:type="dxa"/>
              <w:left w:w="28" w:type="dxa"/>
              <w:bottom w:w="0" w:type="dxa"/>
              <w:right w:w="28" w:type="dxa"/>
            </w:tcMar>
            <w:vAlign w:val="center"/>
          </w:tcPr>
          <w:p>
            <w:pPr>
              <w:keepNext w:val="0"/>
              <w:keepLines w:val="0"/>
              <w:pageBreakBefore w:val="0"/>
              <w:kinsoku/>
              <w:wordWrap/>
              <w:overflowPunct/>
              <w:topLinePunct w:val="0"/>
              <w:autoSpaceDE/>
              <w:autoSpaceDN/>
              <w:bidi w:val="0"/>
              <w:spacing w:after="0" w:line="296" w:lineRule="auto"/>
              <w:jc w:val="both"/>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w:t>
            </w:r>
          </w:p>
        </w:tc>
        <w:tc>
          <w:tcPr>
            <w:tcW w:w="192" w:type="pct"/>
            <w:noWrap w:val="0"/>
            <w:tcMar>
              <w:top w:w="0" w:type="dxa"/>
              <w:left w:w="28" w:type="dxa"/>
              <w:bottom w:w="0" w:type="dxa"/>
              <w:right w:w="28" w:type="dxa"/>
            </w:tcMar>
            <w:vAlign w:val="center"/>
          </w:tcPr>
          <w:p>
            <w:pPr>
              <w:keepNext w:val="0"/>
              <w:keepLines w:val="0"/>
              <w:pageBreakBefore w:val="0"/>
              <w:kinsoku/>
              <w:wordWrap/>
              <w:overflowPunct/>
              <w:topLinePunct w:val="0"/>
              <w:autoSpaceDE/>
              <w:autoSpaceDN/>
              <w:bidi w:val="0"/>
              <w:spacing w:after="0" w:line="296"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废水</w:t>
            </w:r>
          </w:p>
        </w:tc>
        <w:tc>
          <w:tcPr>
            <w:tcW w:w="2456" w:type="pct"/>
            <w:noWrap w:val="0"/>
            <w:tcMar>
              <w:top w:w="0" w:type="dxa"/>
              <w:left w:w="28" w:type="dxa"/>
              <w:bottom w:w="0" w:type="dxa"/>
              <w:right w:w="28" w:type="dxa"/>
            </w:tcMar>
            <w:vAlign w:val="center"/>
          </w:tcPr>
          <w:p>
            <w:pPr>
              <w:keepNext w:val="0"/>
              <w:keepLines w:val="0"/>
              <w:pageBreakBefore w:val="0"/>
              <w:numPr>
                <w:ilvl w:val="0"/>
                <w:numId w:val="3"/>
              </w:numPr>
              <w:kinsoku/>
              <w:wordWrap/>
              <w:overflowPunct/>
              <w:topLinePunct w:val="0"/>
              <w:autoSpaceDE/>
              <w:autoSpaceDN/>
              <w:bidi w:val="0"/>
              <w:spacing w:after="0" w:line="296" w:lineRule="auto"/>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工作人员的生活污水</w:t>
            </w:r>
            <w:r>
              <w:rPr>
                <w:rFonts w:hint="default" w:ascii="Times New Roman" w:hAnsi="Times New Roman" w:eastAsia="宋体" w:cs="Times New Roman"/>
                <w:sz w:val="21"/>
                <w:szCs w:val="21"/>
                <w:lang w:val="en-US" w:eastAsia="zh-CN"/>
              </w:rPr>
              <w:t>员工生活废水经玻璃钢化粪池处理后拉运，不外排</w:t>
            </w:r>
            <w:r>
              <w:rPr>
                <w:rFonts w:hint="default" w:ascii="Times New Roman" w:hAnsi="Times New Roman" w:eastAsia="宋体" w:cs="Times New Roman"/>
                <w:sz w:val="21"/>
                <w:szCs w:val="21"/>
              </w:rPr>
              <w:t>。</w:t>
            </w:r>
          </w:p>
          <w:p>
            <w:pPr>
              <w:keepNext w:val="0"/>
              <w:keepLines w:val="0"/>
              <w:pageBreakBefore w:val="0"/>
              <w:numPr>
                <w:ilvl w:val="0"/>
                <w:numId w:val="3"/>
              </w:numPr>
              <w:kinsoku/>
              <w:wordWrap/>
              <w:overflowPunct/>
              <w:topLinePunct w:val="0"/>
              <w:autoSpaceDE/>
              <w:autoSpaceDN/>
              <w:bidi w:val="0"/>
              <w:spacing w:after="0" w:line="296" w:lineRule="auto"/>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对集成式一体化净水设备过滤区截留悬浮物进行反冲洗</w:t>
            </w:r>
            <w:r>
              <w:rPr>
                <w:rFonts w:hint="eastAsia" w:ascii="Times New Roman" w:hAnsi="Times New Roman" w:eastAsia="宋体" w:cs="Times New Roman"/>
                <w:sz w:val="21"/>
                <w:szCs w:val="21"/>
                <w:lang w:val="en-US" w:eastAsia="zh-CN"/>
              </w:rPr>
              <w:t>，产生的反冲废水用于本项目绿化用水可全部消纳。</w:t>
            </w:r>
          </w:p>
        </w:tc>
        <w:tc>
          <w:tcPr>
            <w:tcW w:w="1787" w:type="pct"/>
            <w:noWrap w:val="0"/>
            <w:tcMar>
              <w:top w:w="0" w:type="dxa"/>
              <w:left w:w="28" w:type="dxa"/>
              <w:bottom w:w="0" w:type="dxa"/>
              <w:right w:w="28" w:type="dxa"/>
            </w:tcMar>
            <w:vAlign w:val="center"/>
          </w:tcPr>
          <w:p>
            <w:pPr>
              <w:keepNext w:val="0"/>
              <w:keepLines w:val="0"/>
              <w:pageBreakBefore w:val="0"/>
              <w:kinsoku/>
              <w:wordWrap/>
              <w:overflowPunct/>
              <w:topLinePunct w:val="0"/>
              <w:autoSpaceDE/>
              <w:autoSpaceDN/>
              <w:bidi w:val="0"/>
              <w:spacing w:after="0" w:line="296" w:lineRule="auto"/>
              <w:jc w:val="left"/>
              <w:textAlignment w:val="auto"/>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反冲洗废水经回用水调节池沉淀处理后进入反冲洗集水井回用，不外排；沉淀池排泥水首先进入排泥水调节池，然后排入泥沙处理间，经机械浓缩处理，上清液用于厂区绿化，不外排；生活污水经化粪池处理后用作农肥使用，不外排。</w:t>
            </w:r>
          </w:p>
        </w:tc>
        <w:tc>
          <w:tcPr>
            <w:tcW w:w="420" w:type="pct"/>
            <w:noWrap w:val="0"/>
            <w:tcMar>
              <w:top w:w="0" w:type="dxa"/>
              <w:left w:w="28" w:type="dxa"/>
              <w:bottom w:w="0" w:type="dxa"/>
              <w:right w:w="28" w:type="dxa"/>
            </w:tcMar>
            <w:vAlign w:val="center"/>
          </w:tcPr>
          <w:p>
            <w:pPr>
              <w:keepNext w:val="0"/>
              <w:keepLines w:val="0"/>
              <w:pageBreakBefore w:val="0"/>
              <w:kinsoku/>
              <w:wordWrap/>
              <w:overflowPunct/>
              <w:topLinePunct w:val="0"/>
              <w:autoSpaceDE/>
              <w:autoSpaceDN/>
              <w:bidi w:val="0"/>
              <w:spacing w:after="0" w:line="296" w:lineRule="auto"/>
              <w:jc w:val="center"/>
              <w:textAlignment w:val="auto"/>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已落实</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96" w:hRule="atLeast"/>
        </w:trPr>
        <w:tc>
          <w:tcPr>
            <w:tcW w:w="142" w:type="pct"/>
            <w:noWrap w:val="0"/>
            <w:tcMar>
              <w:top w:w="0" w:type="dxa"/>
              <w:left w:w="28" w:type="dxa"/>
              <w:bottom w:w="0" w:type="dxa"/>
              <w:right w:w="28" w:type="dxa"/>
            </w:tcMar>
            <w:vAlign w:val="center"/>
          </w:tcPr>
          <w:p>
            <w:pPr>
              <w:keepNext w:val="0"/>
              <w:keepLines w:val="0"/>
              <w:pageBreakBefore w:val="0"/>
              <w:kinsoku/>
              <w:wordWrap/>
              <w:overflowPunct/>
              <w:topLinePunct w:val="0"/>
              <w:autoSpaceDE/>
              <w:autoSpaceDN/>
              <w:bidi w:val="0"/>
              <w:spacing w:after="0" w:line="296" w:lineRule="auto"/>
              <w:jc w:val="both"/>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w:t>
            </w:r>
          </w:p>
        </w:tc>
        <w:tc>
          <w:tcPr>
            <w:tcW w:w="192" w:type="pct"/>
            <w:noWrap w:val="0"/>
            <w:tcMar>
              <w:top w:w="0" w:type="dxa"/>
              <w:left w:w="28" w:type="dxa"/>
              <w:bottom w:w="0" w:type="dxa"/>
              <w:right w:w="28" w:type="dxa"/>
            </w:tcMar>
            <w:vAlign w:val="center"/>
          </w:tcPr>
          <w:p>
            <w:pPr>
              <w:keepNext w:val="0"/>
              <w:keepLines w:val="0"/>
              <w:pageBreakBefore w:val="0"/>
              <w:kinsoku/>
              <w:wordWrap/>
              <w:overflowPunct/>
              <w:topLinePunct w:val="0"/>
              <w:autoSpaceDE/>
              <w:autoSpaceDN/>
              <w:bidi w:val="0"/>
              <w:spacing w:after="0" w:line="296"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噪声</w:t>
            </w:r>
          </w:p>
        </w:tc>
        <w:tc>
          <w:tcPr>
            <w:tcW w:w="2456" w:type="pct"/>
            <w:noWrap w:val="0"/>
            <w:tcMar>
              <w:top w:w="0" w:type="dxa"/>
              <w:left w:w="28" w:type="dxa"/>
              <w:bottom w:w="0" w:type="dxa"/>
              <w:right w:w="28" w:type="dxa"/>
            </w:tcMar>
            <w:vAlign w:val="center"/>
          </w:tcPr>
          <w:p>
            <w:pPr>
              <w:keepNext w:val="0"/>
              <w:keepLines w:val="0"/>
              <w:pageBreakBefore w:val="0"/>
              <w:kinsoku/>
              <w:wordWrap/>
              <w:overflowPunct/>
              <w:topLinePunct w:val="0"/>
              <w:autoSpaceDE/>
              <w:autoSpaceDN/>
              <w:bidi w:val="0"/>
              <w:spacing w:after="0" w:line="296" w:lineRule="auto"/>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主要噪声源采取室内放置，泵房水泵均布置在地下，在采取隔声、基础减振等控制措施</w:t>
            </w:r>
          </w:p>
        </w:tc>
        <w:tc>
          <w:tcPr>
            <w:tcW w:w="1787" w:type="pct"/>
            <w:noWrap w:val="0"/>
            <w:tcMar>
              <w:top w:w="0" w:type="dxa"/>
              <w:left w:w="28" w:type="dxa"/>
              <w:bottom w:w="0" w:type="dxa"/>
              <w:right w:w="28" w:type="dxa"/>
            </w:tcMar>
            <w:vAlign w:val="center"/>
          </w:tcPr>
          <w:p>
            <w:pPr>
              <w:keepNext w:val="0"/>
              <w:keepLines w:val="0"/>
              <w:pageBreakBefore w:val="0"/>
              <w:kinsoku/>
              <w:wordWrap/>
              <w:overflowPunct/>
              <w:topLinePunct w:val="0"/>
              <w:autoSpaceDE/>
              <w:autoSpaceDN/>
              <w:bidi w:val="0"/>
              <w:spacing w:after="0" w:line="296" w:lineRule="auto"/>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选用同类产品中低噪声设备；噪声设备置于室内采取隔声材料；高噪声设备采取隔声、基础减振等措施。</w:t>
            </w:r>
          </w:p>
        </w:tc>
        <w:tc>
          <w:tcPr>
            <w:tcW w:w="420" w:type="pct"/>
            <w:noWrap w:val="0"/>
            <w:tcMar>
              <w:top w:w="0" w:type="dxa"/>
              <w:left w:w="28" w:type="dxa"/>
              <w:bottom w:w="0" w:type="dxa"/>
              <w:right w:w="28" w:type="dxa"/>
            </w:tcMar>
            <w:vAlign w:val="center"/>
          </w:tcPr>
          <w:p>
            <w:pPr>
              <w:keepNext w:val="0"/>
              <w:keepLines w:val="0"/>
              <w:pageBreakBefore w:val="0"/>
              <w:kinsoku/>
              <w:wordWrap/>
              <w:overflowPunct/>
              <w:topLinePunct w:val="0"/>
              <w:autoSpaceDE/>
              <w:autoSpaceDN/>
              <w:bidi w:val="0"/>
              <w:spacing w:after="0" w:line="296" w:lineRule="auto"/>
              <w:jc w:val="center"/>
              <w:textAlignment w:val="auto"/>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已落实</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159" w:hRule="atLeast"/>
        </w:trPr>
        <w:tc>
          <w:tcPr>
            <w:tcW w:w="142" w:type="pct"/>
            <w:noWrap w:val="0"/>
            <w:tcMar>
              <w:top w:w="0" w:type="dxa"/>
              <w:left w:w="28" w:type="dxa"/>
              <w:bottom w:w="0" w:type="dxa"/>
              <w:right w:w="28" w:type="dxa"/>
            </w:tcMar>
            <w:vAlign w:val="center"/>
          </w:tcPr>
          <w:p>
            <w:pPr>
              <w:keepNext w:val="0"/>
              <w:keepLines w:val="0"/>
              <w:pageBreakBefore w:val="0"/>
              <w:kinsoku/>
              <w:wordWrap/>
              <w:overflowPunct/>
              <w:topLinePunct w:val="0"/>
              <w:autoSpaceDE/>
              <w:autoSpaceDN/>
              <w:bidi w:val="0"/>
              <w:spacing w:after="0" w:line="296" w:lineRule="auto"/>
              <w:jc w:val="both"/>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w:t>
            </w:r>
          </w:p>
        </w:tc>
        <w:tc>
          <w:tcPr>
            <w:tcW w:w="192" w:type="pct"/>
            <w:noWrap w:val="0"/>
            <w:tcMar>
              <w:top w:w="0" w:type="dxa"/>
              <w:left w:w="28" w:type="dxa"/>
              <w:bottom w:w="0" w:type="dxa"/>
              <w:right w:w="28" w:type="dxa"/>
            </w:tcMar>
            <w:vAlign w:val="center"/>
          </w:tcPr>
          <w:p>
            <w:pPr>
              <w:keepNext w:val="0"/>
              <w:keepLines w:val="0"/>
              <w:pageBreakBefore w:val="0"/>
              <w:kinsoku/>
              <w:wordWrap/>
              <w:overflowPunct/>
              <w:topLinePunct w:val="0"/>
              <w:autoSpaceDE/>
              <w:autoSpaceDN/>
              <w:bidi w:val="0"/>
              <w:spacing w:after="0" w:line="296"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固废</w:t>
            </w:r>
          </w:p>
        </w:tc>
        <w:tc>
          <w:tcPr>
            <w:tcW w:w="2456" w:type="pct"/>
            <w:noWrap w:val="0"/>
            <w:tcMar>
              <w:top w:w="0" w:type="dxa"/>
              <w:left w:w="28" w:type="dxa"/>
              <w:bottom w:w="0" w:type="dxa"/>
              <w:right w:w="28" w:type="dxa"/>
            </w:tcMar>
            <w:vAlign w:val="center"/>
          </w:tcPr>
          <w:p>
            <w:pPr>
              <w:keepNext w:val="0"/>
              <w:keepLines w:val="0"/>
              <w:pageBreakBefore w:val="0"/>
              <w:kinsoku/>
              <w:wordWrap/>
              <w:overflowPunct/>
              <w:topLinePunct w:val="0"/>
              <w:autoSpaceDE/>
              <w:autoSpaceDN/>
              <w:bidi w:val="0"/>
              <w:spacing w:after="0" w:line="296" w:lineRule="auto"/>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生活垃圾集中收集于垃圾桶中后清运至当地生活垃圾转运站。</w:t>
            </w:r>
          </w:p>
          <w:p>
            <w:pPr>
              <w:keepNext w:val="0"/>
              <w:keepLines w:val="0"/>
              <w:pageBreakBefore w:val="0"/>
              <w:kinsoku/>
              <w:wordWrap/>
              <w:overflowPunct/>
              <w:topLinePunct w:val="0"/>
              <w:autoSpaceDE/>
              <w:autoSpaceDN/>
              <w:bidi w:val="0"/>
              <w:spacing w:after="0" w:line="296" w:lineRule="auto"/>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（2）集成（一体化）净水设备所排污泥不含重金属及其他有害物质，为一般固体废弃物，定期清运至尖扎县垃圾填埋场做覆土层。</w:t>
            </w:r>
          </w:p>
        </w:tc>
        <w:tc>
          <w:tcPr>
            <w:tcW w:w="1787" w:type="pct"/>
            <w:noWrap w:val="0"/>
            <w:tcMar>
              <w:top w:w="0" w:type="dxa"/>
              <w:left w:w="28" w:type="dxa"/>
              <w:bottom w:w="0" w:type="dxa"/>
              <w:right w:w="28" w:type="dxa"/>
            </w:tcMar>
            <w:vAlign w:val="center"/>
          </w:tcPr>
          <w:p>
            <w:pPr>
              <w:keepNext w:val="0"/>
              <w:keepLines w:val="0"/>
              <w:pageBreakBefore w:val="0"/>
              <w:kinsoku/>
              <w:wordWrap/>
              <w:overflowPunct/>
              <w:topLinePunct w:val="0"/>
              <w:autoSpaceDE/>
              <w:autoSpaceDN/>
              <w:bidi w:val="0"/>
              <w:spacing w:after="0" w:line="296" w:lineRule="auto"/>
              <w:jc w:val="left"/>
              <w:textAlignment w:val="auto"/>
              <w:rPr>
                <w:rFonts w:hint="eastAsia" w:ascii="Times New Roman" w:hAnsi="Times New Roman" w:eastAsia="宋体" w:cs="Times New Roman"/>
                <w:sz w:val="21"/>
                <w:szCs w:val="21"/>
                <w:lang w:eastAsia="zh-CN"/>
              </w:rPr>
            </w:pPr>
            <w:r>
              <w:rPr>
                <w:rFonts w:hint="eastAsia" w:ascii="宋体" w:hAnsi="宋体" w:eastAsia="宋体"/>
                <w:sz w:val="21"/>
                <w:szCs w:val="24"/>
              </w:rPr>
              <w:t>净水厂内设垃圾桶，</w:t>
            </w:r>
            <w:r>
              <w:rPr>
                <w:rFonts w:hint="eastAsia" w:ascii="宋体" w:hAnsi="宋体" w:eastAsia="宋体"/>
                <w:sz w:val="21"/>
                <w:szCs w:val="24"/>
                <w:lang w:val="en-US" w:eastAsia="zh-CN"/>
              </w:rPr>
              <w:t>生活垃圾</w:t>
            </w:r>
            <w:r>
              <w:rPr>
                <w:rFonts w:hint="eastAsia" w:ascii="宋体" w:hAnsi="宋体" w:eastAsia="宋体"/>
                <w:sz w:val="21"/>
                <w:szCs w:val="24"/>
              </w:rPr>
              <w:t>由环卫部门定期清运处理</w:t>
            </w:r>
            <w:r>
              <w:rPr>
                <w:rFonts w:hint="eastAsia" w:ascii="宋体" w:hAnsi="宋体" w:eastAsia="宋体"/>
                <w:sz w:val="21"/>
                <w:szCs w:val="24"/>
                <w:lang w:eastAsia="zh-CN"/>
              </w:rPr>
              <w:t>；</w:t>
            </w:r>
            <w:r>
              <w:rPr>
                <w:rFonts w:hint="default" w:ascii="Times New Roman" w:hAnsi="Times New Roman" w:eastAsia="宋体" w:cs="Times New Roman"/>
                <w:sz w:val="21"/>
                <w:szCs w:val="21"/>
                <w:lang w:val="en-US" w:eastAsia="zh-CN"/>
              </w:rPr>
              <w:t>集成（一体化）净水设备所排污泥不含重金属及其他有害物质，</w:t>
            </w:r>
            <w:r>
              <w:rPr>
                <w:rFonts w:hint="eastAsia" w:ascii="宋体" w:hAnsi="宋体" w:eastAsia="宋体"/>
                <w:sz w:val="21"/>
                <w:szCs w:val="24"/>
              </w:rPr>
              <w:t>定期清掏，由环卫部门清运处置</w:t>
            </w:r>
            <w:r>
              <w:rPr>
                <w:rFonts w:hint="eastAsia" w:ascii="宋体" w:hAnsi="宋体" w:eastAsia="宋体"/>
                <w:sz w:val="21"/>
                <w:szCs w:val="24"/>
                <w:lang w:eastAsia="zh-CN"/>
              </w:rPr>
              <w:t>。</w:t>
            </w:r>
          </w:p>
        </w:tc>
        <w:tc>
          <w:tcPr>
            <w:tcW w:w="420" w:type="pct"/>
            <w:noWrap w:val="0"/>
            <w:tcMar>
              <w:top w:w="0" w:type="dxa"/>
              <w:left w:w="28" w:type="dxa"/>
              <w:bottom w:w="0" w:type="dxa"/>
              <w:right w:w="28" w:type="dxa"/>
            </w:tcMar>
            <w:vAlign w:val="center"/>
          </w:tcPr>
          <w:p>
            <w:pPr>
              <w:keepNext w:val="0"/>
              <w:keepLines w:val="0"/>
              <w:pageBreakBefore w:val="0"/>
              <w:kinsoku/>
              <w:wordWrap/>
              <w:overflowPunct/>
              <w:topLinePunct w:val="0"/>
              <w:autoSpaceDE/>
              <w:autoSpaceDN/>
              <w:bidi w:val="0"/>
              <w:spacing w:after="0" w:line="296" w:lineRule="auto"/>
              <w:jc w:val="center"/>
              <w:textAlignment w:val="auto"/>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已落实</w:t>
            </w:r>
          </w:p>
        </w:tc>
      </w:tr>
    </w:tbl>
    <w:p>
      <w:pPr>
        <w:jc w:val="both"/>
        <w:rPr>
          <w:rFonts w:hint="default" w:ascii="Times New Roman" w:hAnsi="Times New Roman" w:eastAsia="宋体" w:cs="Times New Roman"/>
          <w:b w:val="0"/>
          <w:bCs/>
          <w:color w:val="000000"/>
          <w:sz w:val="21"/>
          <w:szCs w:val="21"/>
        </w:rPr>
      </w:pPr>
    </w:p>
    <w:p>
      <w:pPr>
        <w:jc w:val="both"/>
        <w:rPr>
          <w:rFonts w:eastAsia="仿宋_GB2312"/>
          <w:b/>
          <w:color w:val="000000"/>
          <w:sz w:val="24"/>
          <w:szCs w:val="24"/>
        </w:rPr>
        <w:sectPr>
          <w:pgSz w:w="16838" w:h="11906" w:orient="landscape"/>
          <w:pgMar w:top="1800" w:right="1440" w:bottom="1800" w:left="1440" w:header="708" w:footer="708" w:gutter="0"/>
          <w:pgBorders>
            <w:top w:val="none" w:sz="0" w:space="0"/>
            <w:left w:val="none" w:sz="0" w:space="0"/>
            <w:bottom w:val="none" w:sz="0" w:space="0"/>
            <w:right w:val="none" w:sz="0" w:space="0"/>
          </w:pgBorders>
          <w:pgNumType w:fmt="decimal"/>
          <w:cols w:space="720" w:num="1"/>
          <w:docGrid w:linePitch="360" w:charSpace="0"/>
        </w:sectPr>
      </w:pPr>
    </w:p>
    <w:p>
      <w:pPr>
        <w:spacing w:after="0" w:line="240" w:lineRule="auto"/>
        <w:jc w:val="center"/>
        <w:rPr>
          <w:rFonts w:hint="default" w:ascii="Times New Roman" w:hAnsi="Times New Roman" w:eastAsia="宋体" w:cs="Times New Roman"/>
          <w:b/>
          <w:bCs w:val="0"/>
          <w:color w:val="000000"/>
          <w:sz w:val="21"/>
          <w:szCs w:val="21"/>
        </w:rPr>
      </w:pPr>
      <w:r>
        <w:rPr>
          <w:rFonts w:hint="default" w:ascii="Times New Roman" w:hAnsi="Times New Roman" w:eastAsia="宋体" w:cs="Times New Roman"/>
          <w:b/>
          <w:bCs w:val="0"/>
          <w:color w:val="000000"/>
          <w:sz w:val="21"/>
          <w:szCs w:val="21"/>
        </w:rPr>
        <w:t xml:space="preserve">表3.2-2 </w:t>
      </w:r>
      <w:r>
        <w:rPr>
          <w:rFonts w:hint="eastAsia" w:ascii="Times New Roman" w:hAnsi="Times New Roman" w:eastAsia="宋体" w:cs="Times New Roman"/>
          <w:b/>
          <w:bCs w:val="0"/>
          <w:color w:val="000000"/>
          <w:sz w:val="21"/>
          <w:szCs w:val="21"/>
          <w:lang w:val="en-US" w:eastAsia="zh-CN"/>
        </w:rPr>
        <w:t xml:space="preserve"> </w:t>
      </w:r>
      <w:r>
        <w:rPr>
          <w:rFonts w:hint="default" w:ascii="Times New Roman" w:hAnsi="Times New Roman" w:eastAsia="宋体" w:cs="Times New Roman"/>
          <w:b/>
          <w:bCs w:val="0"/>
          <w:color w:val="000000"/>
          <w:sz w:val="21"/>
          <w:szCs w:val="21"/>
        </w:rPr>
        <w:t>项目环评批复文件环保措施落实情况一览表</w:t>
      </w:r>
    </w:p>
    <w:tbl>
      <w:tblPr>
        <w:tblStyle w:val="11"/>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7464"/>
        <w:gridCol w:w="4907"/>
        <w:gridCol w:w="111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8" w:type="dxa"/>
            <w:tcBorders>
              <w:tl2br w:val="nil"/>
              <w:tr2bl w:val="nil"/>
            </w:tcBorders>
            <w:vAlign w:val="center"/>
          </w:tcPr>
          <w:p>
            <w:pPr>
              <w:widowControl w:val="0"/>
              <w:spacing w:after="0"/>
              <w:jc w:val="center"/>
              <w:rPr>
                <w:rFonts w:hint="eastAsia" w:ascii="Times New Roman" w:hAnsi="Times New Roman" w:eastAsia="宋体" w:cs="Times New Roman"/>
                <w:b w:val="0"/>
                <w:bCs/>
                <w:color w:val="000000"/>
                <w:sz w:val="21"/>
                <w:szCs w:val="21"/>
                <w:vertAlign w:val="baseline"/>
                <w:lang w:val="en-US" w:eastAsia="zh-CN"/>
              </w:rPr>
            </w:pPr>
            <w:r>
              <w:rPr>
                <w:rFonts w:hint="eastAsia" w:ascii="Times New Roman" w:hAnsi="Times New Roman" w:eastAsia="宋体" w:cs="Times New Roman"/>
                <w:b w:val="0"/>
                <w:bCs/>
                <w:color w:val="000000"/>
                <w:sz w:val="21"/>
                <w:szCs w:val="21"/>
                <w:vertAlign w:val="baseline"/>
                <w:lang w:val="en-US" w:eastAsia="zh-CN"/>
              </w:rPr>
              <w:t>序号</w:t>
            </w:r>
          </w:p>
        </w:tc>
        <w:tc>
          <w:tcPr>
            <w:tcW w:w="7464" w:type="dxa"/>
            <w:tcBorders>
              <w:tl2br w:val="nil"/>
              <w:tr2bl w:val="nil"/>
            </w:tcBorders>
            <w:vAlign w:val="center"/>
          </w:tcPr>
          <w:p>
            <w:pPr>
              <w:widowControl w:val="0"/>
              <w:spacing w:after="0"/>
              <w:jc w:val="center"/>
              <w:rPr>
                <w:rFonts w:hint="eastAsia" w:ascii="Times New Roman" w:hAnsi="Times New Roman" w:eastAsia="宋体" w:cs="Times New Roman"/>
                <w:b w:val="0"/>
                <w:bCs/>
                <w:color w:val="000000"/>
                <w:sz w:val="21"/>
                <w:szCs w:val="21"/>
                <w:vertAlign w:val="baseline"/>
                <w:lang w:val="en-US" w:eastAsia="zh-CN"/>
              </w:rPr>
            </w:pPr>
            <w:r>
              <w:rPr>
                <w:rFonts w:hint="eastAsia" w:ascii="Times New Roman" w:hAnsi="Times New Roman" w:eastAsia="宋体" w:cs="Times New Roman"/>
                <w:b w:val="0"/>
                <w:bCs/>
                <w:color w:val="000000"/>
                <w:sz w:val="21"/>
                <w:szCs w:val="21"/>
                <w:vertAlign w:val="baseline"/>
                <w:lang w:val="en-US" w:eastAsia="zh-CN"/>
              </w:rPr>
              <w:t>批复内容</w:t>
            </w:r>
          </w:p>
        </w:tc>
        <w:tc>
          <w:tcPr>
            <w:tcW w:w="4907" w:type="dxa"/>
            <w:tcBorders>
              <w:tl2br w:val="nil"/>
              <w:tr2bl w:val="nil"/>
            </w:tcBorders>
            <w:vAlign w:val="center"/>
          </w:tcPr>
          <w:p>
            <w:pPr>
              <w:widowControl w:val="0"/>
              <w:spacing w:after="0"/>
              <w:jc w:val="center"/>
              <w:rPr>
                <w:rFonts w:hint="default" w:ascii="Times New Roman" w:hAnsi="Times New Roman" w:eastAsia="宋体" w:cs="Times New Roman"/>
                <w:b w:val="0"/>
                <w:bCs/>
                <w:color w:val="000000"/>
                <w:sz w:val="21"/>
                <w:szCs w:val="21"/>
                <w:vertAlign w:val="baseline"/>
                <w:lang w:val="en-US" w:eastAsia="zh-CN"/>
              </w:rPr>
            </w:pPr>
            <w:r>
              <w:rPr>
                <w:rFonts w:hint="eastAsia" w:ascii="Times New Roman" w:hAnsi="Times New Roman" w:eastAsia="宋体" w:cs="Times New Roman"/>
                <w:b w:val="0"/>
                <w:bCs/>
                <w:color w:val="000000"/>
                <w:sz w:val="21"/>
                <w:szCs w:val="21"/>
                <w:vertAlign w:val="baseline"/>
                <w:lang w:val="en-US" w:eastAsia="zh-CN"/>
              </w:rPr>
              <w:t>实际建设情况</w:t>
            </w:r>
          </w:p>
        </w:tc>
        <w:tc>
          <w:tcPr>
            <w:tcW w:w="1115" w:type="dxa"/>
            <w:tcBorders>
              <w:tl2br w:val="nil"/>
              <w:tr2bl w:val="nil"/>
            </w:tcBorders>
            <w:vAlign w:val="center"/>
          </w:tcPr>
          <w:p>
            <w:pPr>
              <w:widowControl w:val="0"/>
              <w:spacing w:after="0"/>
              <w:jc w:val="center"/>
              <w:rPr>
                <w:rFonts w:hint="eastAsia" w:ascii="Times New Roman" w:hAnsi="Times New Roman" w:eastAsia="宋体" w:cs="Times New Roman"/>
                <w:b w:val="0"/>
                <w:bCs/>
                <w:color w:val="000000"/>
                <w:sz w:val="21"/>
                <w:szCs w:val="21"/>
                <w:vertAlign w:val="baseline"/>
                <w:lang w:val="en-US" w:eastAsia="zh-CN"/>
              </w:rPr>
            </w:pPr>
            <w:r>
              <w:rPr>
                <w:rFonts w:hint="eastAsia" w:ascii="Times New Roman" w:hAnsi="Times New Roman" w:eastAsia="宋体" w:cs="Times New Roman"/>
                <w:b w:val="0"/>
                <w:bCs/>
                <w:color w:val="000000"/>
                <w:sz w:val="21"/>
                <w:szCs w:val="21"/>
                <w:vertAlign w:val="baseline"/>
                <w:lang w:val="en-US" w:eastAsia="zh-CN"/>
              </w:rPr>
              <w:t>落实情况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8" w:type="dxa"/>
            <w:tcBorders>
              <w:tl2br w:val="nil"/>
              <w:tr2bl w:val="nil"/>
            </w:tcBorders>
            <w:vAlign w:val="center"/>
          </w:tcPr>
          <w:p>
            <w:pPr>
              <w:widowControl w:val="0"/>
              <w:spacing w:after="0"/>
              <w:jc w:val="center"/>
              <w:rPr>
                <w:rFonts w:hint="eastAsia" w:ascii="Times New Roman" w:hAnsi="Times New Roman" w:eastAsia="宋体" w:cs="Times New Roman"/>
                <w:b w:val="0"/>
                <w:bCs/>
                <w:color w:val="000000"/>
                <w:sz w:val="21"/>
                <w:szCs w:val="21"/>
                <w:vertAlign w:val="baseline"/>
                <w:lang w:val="en-US" w:eastAsia="zh-CN"/>
              </w:rPr>
            </w:pPr>
            <w:r>
              <w:rPr>
                <w:rFonts w:hint="eastAsia" w:ascii="Times New Roman" w:hAnsi="Times New Roman" w:eastAsia="宋体" w:cs="Times New Roman"/>
                <w:b w:val="0"/>
                <w:bCs/>
                <w:color w:val="000000"/>
                <w:sz w:val="21"/>
                <w:szCs w:val="21"/>
                <w:vertAlign w:val="baseline"/>
                <w:lang w:val="en-US" w:eastAsia="zh-CN"/>
              </w:rPr>
              <w:t>1</w:t>
            </w:r>
          </w:p>
        </w:tc>
        <w:tc>
          <w:tcPr>
            <w:tcW w:w="7464" w:type="dxa"/>
            <w:tcBorders>
              <w:tl2br w:val="nil"/>
              <w:tr2bl w:val="nil"/>
            </w:tcBorders>
            <w:vAlign w:val="center"/>
          </w:tcPr>
          <w:p>
            <w:pPr>
              <w:widowControl w:val="0"/>
              <w:spacing w:after="0"/>
              <w:jc w:val="center"/>
              <w:rPr>
                <w:rFonts w:hint="default" w:ascii="Times New Roman" w:hAnsi="Times New Roman" w:eastAsia="宋体" w:cs="Times New Roman"/>
                <w:b w:val="0"/>
                <w:bCs/>
                <w:color w:val="000000"/>
                <w:sz w:val="21"/>
                <w:szCs w:val="21"/>
                <w:vertAlign w:val="baseline"/>
              </w:rPr>
            </w:pPr>
            <w:r>
              <w:rPr>
                <w:rFonts w:hint="default" w:ascii="Times New Roman" w:hAnsi="Times New Roman" w:eastAsia="宋体" w:cs="Times New Roman"/>
                <w:b w:val="0"/>
                <w:bCs/>
                <w:color w:val="000000"/>
                <w:sz w:val="21"/>
                <w:szCs w:val="21"/>
                <w:vertAlign w:val="baseline"/>
              </w:rPr>
              <w:t>在施工阶段，应加强管理，制定文明施工制度，在土石方开挖外运时，为避免尘土飞扬，土体散落，对运输车辆加盖篷布，尽量减少污染。</w:t>
            </w:r>
          </w:p>
        </w:tc>
        <w:tc>
          <w:tcPr>
            <w:tcW w:w="4907" w:type="dxa"/>
            <w:tcBorders>
              <w:tl2br w:val="nil"/>
              <w:tr2bl w:val="nil"/>
            </w:tcBorders>
            <w:vAlign w:val="center"/>
          </w:tcPr>
          <w:p>
            <w:pPr>
              <w:widowControl w:val="0"/>
              <w:spacing w:after="0"/>
              <w:jc w:val="center"/>
              <w:rPr>
                <w:rFonts w:hint="default" w:ascii="Times New Roman" w:hAnsi="Times New Roman" w:eastAsia="宋体" w:cs="Times New Roman"/>
                <w:b w:val="0"/>
                <w:bCs/>
                <w:color w:val="000000"/>
                <w:sz w:val="21"/>
                <w:szCs w:val="21"/>
                <w:vertAlign w:val="baseline"/>
                <w:lang w:val="en-US" w:eastAsia="zh-CN"/>
              </w:rPr>
            </w:pPr>
            <w:r>
              <w:rPr>
                <w:rFonts w:hint="eastAsia" w:ascii="宋体" w:hAnsi="宋体" w:eastAsia="宋体"/>
                <w:sz w:val="21"/>
                <w:szCs w:val="24"/>
              </w:rPr>
              <w:t>施工场地定期洒水抑尘</w:t>
            </w:r>
            <w:r>
              <w:rPr>
                <w:rFonts w:hint="eastAsia" w:ascii="宋体" w:hAnsi="宋体" w:eastAsia="宋体"/>
                <w:sz w:val="21"/>
                <w:szCs w:val="24"/>
                <w:lang w:eastAsia="zh-CN"/>
              </w:rPr>
              <w:t>，</w:t>
            </w:r>
            <w:r>
              <w:rPr>
                <w:rFonts w:hint="eastAsia" w:ascii="宋体" w:hAnsi="宋体" w:eastAsia="宋体"/>
                <w:sz w:val="21"/>
                <w:szCs w:val="24"/>
                <w:lang w:val="en-US" w:eastAsia="zh-CN"/>
              </w:rPr>
              <w:t>车辆均进行</w:t>
            </w:r>
            <w:r>
              <w:rPr>
                <w:rFonts w:hint="default" w:ascii="Times New Roman" w:hAnsi="Times New Roman" w:eastAsia="宋体" w:cs="Times New Roman"/>
                <w:b w:val="0"/>
                <w:bCs/>
                <w:color w:val="000000"/>
                <w:sz w:val="21"/>
                <w:szCs w:val="21"/>
                <w:vertAlign w:val="baseline"/>
              </w:rPr>
              <w:t>加盖篷布</w:t>
            </w:r>
            <w:r>
              <w:rPr>
                <w:rFonts w:hint="eastAsia" w:ascii="宋体" w:hAnsi="宋体" w:eastAsia="宋体"/>
                <w:sz w:val="21"/>
                <w:szCs w:val="24"/>
                <w:lang w:val="en-US" w:eastAsia="zh-CN"/>
              </w:rPr>
              <w:t>运输。</w:t>
            </w:r>
          </w:p>
        </w:tc>
        <w:tc>
          <w:tcPr>
            <w:tcW w:w="1115" w:type="dxa"/>
            <w:tcBorders>
              <w:tl2br w:val="nil"/>
              <w:tr2bl w:val="nil"/>
            </w:tcBorders>
            <w:vAlign w:val="center"/>
          </w:tcPr>
          <w:p>
            <w:pPr>
              <w:widowControl w:val="0"/>
              <w:spacing w:after="0"/>
              <w:jc w:val="center"/>
              <w:rPr>
                <w:rFonts w:hint="default" w:ascii="Times New Roman" w:hAnsi="Times New Roman" w:eastAsia="宋体" w:cs="Times New Roman"/>
                <w:b w:val="0"/>
                <w:bCs/>
                <w:color w:val="000000"/>
                <w:sz w:val="21"/>
                <w:szCs w:val="21"/>
                <w:vertAlign w:val="baseline"/>
              </w:rPr>
            </w:pPr>
            <w:r>
              <w:rPr>
                <w:rFonts w:hint="eastAsia" w:ascii="Times New Roman" w:hAnsi="Times New Roman" w:eastAsia="宋体" w:cs="Times New Roman"/>
                <w:b w:val="0"/>
                <w:bCs/>
                <w:color w:val="000000"/>
                <w:sz w:val="21"/>
                <w:szCs w:val="21"/>
                <w:vertAlign w:val="baseline"/>
                <w:lang w:val="en-US" w:eastAsia="zh-CN"/>
              </w:rPr>
              <w:t>已落实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8" w:type="dxa"/>
            <w:tcBorders>
              <w:tl2br w:val="nil"/>
              <w:tr2bl w:val="nil"/>
            </w:tcBorders>
            <w:vAlign w:val="center"/>
          </w:tcPr>
          <w:p>
            <w:pPr>
              <w:widowControl w:val="0"/>
              <w:spacing w:after="0"/>
              <w:jc w:val="center"/>
              <w:rPr>
                <w:rFonts w:hint="eastAsia" w:ascii="Times New Roman" w:hAnsi="Times New Roman" w:eastAsia="宋体" w:cs="Times New Roman"/>
                <w:b w:val="0"/>
                <w:bCs/>
                <w:color w:val="000000"/>
                <w:sz w:val="21"/>
                <w:szCs w:val="21"/>
                <w:vertAlign w:val="baseline"/>
                <w:lang w:val="en-US" w:eastAsia="zh-CN"/>
              </w:rPr>
            </w:pPr>
            <w:r>
              <w:rPr>
                <w:rFonts w:hint="eastAsia" w:ascii="Times New Roman" w:hAnsi="Times New Roman" w:eastAsia="宋体" w:cs="Times New Roman"/>
                <w:b w:val="0"/>
                <w:bCs/>
                <w:color w:val="000000"/>
                <w:sz w:val="21"/>
                <w:szCs w:val="21"/>
                <w:vertAlign w:val="baseline"/>
                <w:lang w:val="en-US" w:eastAsia="zh-CN"/>
              </w:rPr>
              <w:t>2</w:t>
            </w:r>
          </w:p>
        </w:tc>
        <w:tc>
          <w:tcPr>
            <w:tcW w:w="7464" w:type="dxa"/>
            <w:tcBorders>
              <w:tl2br w:val="nil"/>
              <w:tr2bl w:val="nil"/>
            </w:tcBorders>
            <w:vAlign w:val="center"/>
          </w:tcPr>
          <w:p>
            <w:pPr>
              <w:widowControl w:val="0"/>
              <w:spacing w:after="0"/>
              <w:jc w:val="center"/>
              <w:rPr>
                <w:rFonts w:hint="default" w:ascii="Times New Roman" w:hAnsi="Times New Roman" w:eastAsia="宋体" w:cs="Times New Roman"/>
                <w:b w:val="0"/>
                <w:bCs/>
                <w:color w:val="000000"/>
                <w:sz w:val="21"/>
                <w:szCs w:val="21"/>
                <w:vertAlign w:val="baseline"/>
              </w:rPr>
            </w:pPr>
            <w:r>
              <w:rPr>
                <w:rFonts w:hint="default" w:ascii="Times New Roman" w:hAnsi="Times New Roman" w:eastAsia="宋体" w:cs="Times New Roman"/>
                <w:b w:val="0"/>
                <w:bCs/>
                <w:color w:val="000000"/>
                <w:sz w:val="21"/>
                <w:szCs w:val="21"/>
                <w:vertAlign w:val="baseline"/>
              </w:rPr>
              <w:t>进一步优化施工措施，只限定在项目所在区域内进行作业，严禁跨界作业;施工完成后对施工周边扰动区域进行清表和植被恢复。</w:t>
            </w:r>
          </w:p>
        </w:tc>
        <w:tc>
          <w:tcPr>
            <w:tcW w:w="4907" w:type="dxa"/>
            <w:tcBorders>
              <w:tl2br w:val="nil"/>
              <w:tr2bl w:val="nil"/>
            </w:tcBorders>
            <w:vAlign w:val="center"/>
          </w:tcPr>
          <w:p>
            <w:pPr>
              <w:widowControl w:val="0"/>
              <w:spacing w:after="0"/>
              <w:jc w:val="center"/>
              <w:rPr>
                <w:rFonts w:hint="default" w:ascii="Times New Roman" w:hAnsi="Times New Roman" w:eastAsia="宋体" w:cs="Times New Roman"/>
                <w:b w:val="0"/>
                <w:bCs/>
                <w:color w:val="000000"/>
                <w:sz w:val="21"/>
                <w:szCs w:val="21"/>
                <w:vertAlign w:val="baseline"/>
              </w:rPr>
            </w:pPr>
            <w:r>
              <w:rPr>
                <w:rFonts w:hint="eastAsia" w:ascii="Times New Roman" w:hAnsi="Times New Roman" w:eastAsia="宋体" w:cs="Times New Roman"/>
                <w:b w:val="0"/>
                <w:bCs/>
                <w:color w:val="000000"/>
                <w:sz w:val="21"/>
                <w:szCs w:val="21"/>
                <w:vertAlign w:val="baseline"/>
                <w:lang w:val="en-US" w:eastAsia="zh-CN"/>
              </w:rPr>
              <w:t>临时占地范围内已全部恢复至与周围地貌相协调。</w:t>
            </w:r>
          </w:p>
        </w:tc>
        <w:tc>
          <w:tcPr>
            <w:tcW w:w="1115" w:type="dxa"/>
            <w:tcBorders>
              <w:tl2br w:val="nil"/>
              <w:tr2bl w:val="nil"/>
            </w:tcBorders>
            <w:vAlign w:val="center"/>
          </w:tcPr>
          <w:p>
            <w:pPr>
              <w:widowControl w:val="0"/>
              <w:spacing w:after="0"/>
              <w:jc w:val="center"/>
              <w:rPr>
                <w:rFonts w:hint="default" w:ascii="Times New Roman" w:hAnsi="Times New Roman" w:eastAsia="宋体" w:cs="Times New Roman"/>
                <w:b w:val="0"/>
                <w:bCs/>
                <w:color w:val="000000"/>
                <w:sz w:val="21"/>
                <w:szCs w:val="21"/>
                <w:vertAlign w:val="baseline"/>
              </w:rPr>
            </w:pPr>
            <w:r>
              <w:rPr>
                <w:rFonts w:hint="eastAsia" w:ascii="Times New Roman" w:hAnsi="Times New Roman" w:eastAsia="宋体" w:cs="Times New Roman"/>
                <w:b w:val="0"/>
                <w:bCs/>
                <w:color w:val="000000"/>
                <w:sz w:val="21"/>
                <w:szCs w:val="21"/>
                <w:vertAlign w:val="baseline"/>
                <w:lang w:val="en-US" w:eastAsia="zh-CN"/>
              </w:rPr>
              <w:t>已落实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8" w:type="dxa"/>
            <w:tcBorders>
              <w:tl2br w:val="nil"/>
              <w:tr2bl w:val="nil"/>
            </w:tcBorders>
            <w:vAlign w:val="center"/>
          </w:tcPr>
          <w:p>
            <w:pPr>
              <w:widowControl w:val="0"/>
              <w:spacing w:after="0"/>
              <w:jc w:val="center"/>
              <w:rPr>
                <w:rFonts w:hint="eastAsia" w:ascii="Times New Roman" w:hAnsi="Times New Roman" w:eastAsia="宋体" w:cs="Times New Roman"/>
                <w:b w:val="0"/>
                <w:bCs/>
                <w:color w:val="000000"/>
                <w:sz w:val="21"/>
                <w:szCs w:val="21"/>
                <w:vertAlign w:val="baseline"/>
                <w:lang w:val="en-US" w:eastAsia="zh-CN"/>
              </w:rPr>
            </w:pPr>
            <w:r>
              <w:rPr>
                <w:rFonts w:hint="eastAsia" w:ascii="Times New Roman" w:hAnsi="Times New Roman" w:eastAsia="宋体" w:cs="Times New Roman"/>
                <w:b w:val="0"/>
                <w:bCs/>
                <w:color w:val="000000"/>
                <w:sz w:val="21"/>
                <w:szCs w:val="21"/>
                <w:vertAlign w:val="baseline"/>
                <w:lang w:val="en-US" w:eastAsia="zh-CN"/>
              </w:rPr>
              <w:t>3</w:t>
            </w:r>
          </w:p>
        </w:tc>
        <w:tc>
          <w:tcPr>
            <w:tcW w:w="7464" w:type="dxa"/>
            <w:tcBorders>
              <w:tl2br w:val="nil"/>
              <w:tr2bl w:val="nil"/>
            </w:tcBorders>
            <w:vAlign w:val="center"/>
          </w:tcPr>
          <w:p>
            <w:pPr>
              <w:widowControl w:val="0"/>
              <w:spacing w:after="0"/>
              <w:jc w:val="center"/>
              <w:rPr>
                <w:rFonts w:hint="default" w:ascii="Times New Roman" w:hAnsi="Times New Roman" w:eastAsia="宋体" w:cs="Times New Roman"/>
                <w:b w:val="0"/>
                <w:bCs/>
                <w:color w:val="000000"/>
                <w:sz w:val="21"/>
                <w:szCs w:val="21"/>
                <w:vertAlign w:val="baseline"/>
              </w:rPr>
            </w:pPr>
            <w:r>
              <w:rPr>
                <w:rFonts w:hint="default" w:ascii="Times New Roman" w:hAnsi="Times New Roman" w:eastAsia="宋体" w:cs="Times New Roman"/>
                <w:b w:val="0"/>
                <w:bCs/>
                <w:color w:val="000000"/>
                <w:sz w:val="21"/>
                <w:szCs w:val="21"/>
                <w:vertAlign w:val="baseline"/>
              </w:rPr>
              <w:t>加强开挖土方的临时堆存和回填，土石方集中堆存，临时堆存区域应遮盖处理且周边设置截排水，避免形成扬尘及污染雨水。生活垃圾定点收集，定期清理，建筑垃圾严禁随意丢弃堆置处理，能回收利用的回收利用，不能回收利用的统一收集送</w:t>
            </w:r>
            <w:r>
              <w:rPr>
                <w:rFonts w:hint="eastAsia" w:ascii="Times New Roman" w:hAnsi="Times New Roman" w:eastAsia="宋体" w:cs="Times New Roman"/>
                <w:b w:val="0"/>
                <w:bCs/>
                <w:color w:val="000000"/>
                <w:sz w:val="21"/>
                <w:szCs w:val="21"/>
                <w:vertAlign w:val="baseline"/>
                <w:lang w:val="en-US" w:eastAsia="zh-CN"/>
              </w:rPr>
              <w:t>尖扎市</w:t>
            </w:r>
            <w:r>
              <w:rPr>
                <w:rFonts w:hint="default" w:ascii="Times New Roman" w:hAnsi="Times New Roman" w:eastAsia="宋体" w:cs="Times New Roman"/>
                <w:b w:val="0"/>
                <w:bCs/>
                <w:color w:val="000000"/>
                <w:sz w:val="21"/>
                <w:szCs w:val="21"/>
                <w:vertAlign w:val="baseline"/>
              </w:rPr>
              <w:t>建筑垃圾堆场处理处置。</w:t>
            </w:r>
          </w:p>
        </w:tc>
        <w:tc>
          <w:tcPr>
            <w:tcW w:w="4907" w:type="dxa"/>
            <w:tcBorders>
              <w:tl2br w:val="nil"/>
              <w:tr2bl w:val="nil"/>
            </w:tcBorders>
            <w:vAlign w:val="center"/>
          </w:tcPr>
          <w:p>
            <w:pPr>
              <w:widowControl w:val="0"/>
              <w:spacing w:after="0"/>
              <w:jc w:val="center"/>
              <w:rPr>
                <w:rFonts w:hint="default" w:ascii="Times New Roman" w:hAnsi="Times New Roman" w:eastAsia="宋体" w:cs="Times New Roman"/>
                <w:b w:val="0"/>
                <w:bCs/>
                <w:color w:val="000000"/>
                <w:sz w:val="21"/>
                <w:szCs w:val="21"/>
                <w:vertAlign w:val="baseline"/>
              </w:rPr>
            </w:pPr>
            <w:r>
              <w:rPr>
                <w:rFonts w:hint="default" w:ascii="Times New Roman" w:hAnsi="Times New Roman" w:eastAsia="宋体" w:cs="Times New Roman"/>
                <w:b w:val="0"/>
                <w:bCs/>
                <w:color w:val="000000"/>
                <w:sz w:val="21"/>
                <w:szCs w:val="21"/>
                <w:vertAlign w:val="baseline"/>
              </w:rPr>
              <w:t>施工已结束，施工过程中土石方均及时回填，未出现油品渗漏或外泄；污泥等固体污染物均妥善处置，未随意乱弃。</w:t>
            </w:r>
          </w:p>
        </w:tc>
        <w:tc>
          <w:tcPr>
            <w:tcW w:w="1115" w:type="dxa"/>
            <w:tcBorders>
              <w:tl2br w:val="nil"/>
              <w:tr2bl w:val="nil"/>
            </w:tcBorders>
            <w:vAlign w:val="center"/>
          </w:tcPr>
          <w:p>
            <w:pPr>
              <w:widowControl w:val="0"/>
              <w:spacing w:after="0"/>
              <w:jc w:val="center"/>
              <w:rPr>
                <w:rFonts w:hint="default" w:ascii="Times New Roman" w:hAnsi="Times New Roman" w:eastAsia="宋体" w:cs="Times New Roman"/>
                <w:b w:val="0"/>
                <w:bCs/>
                <w:color w:val="000000"/>
                <w:sz w:val="21"/>
                <w:szCs w:val="21"/>
                <w:vertAlign w:val="baseline"/>
              </w:rPr>
            </w:pPr>
            <w:r>
              <w:rPr>
                <w:rFonts w:hint="eastAsia" w:ascii="Times New Roman" w:hAnsi="Times New Roman" w:eastAsia="宋体" w:cs="Times New Roman"/>
                <w:b w:val="0"/>
                <w:bCs/>
                <w:color w:val="000000"/>
                <w:sz w:val="21"/>
                <w:szCs w:val="21"/>
                <w:vertAlign w:val="baseline"/>
                <w:lang w:val="en-US" w:eastAsia="zh-CN"/>
              </w:rPr>
              <w:t>已落实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8" w:type="dxa"/>
            <w:tcBorders>
              <w:tl2br w:val="nil"/>
              <w:tr2bl w:val="nil"/>
            </w:tcBorders>
            <w:vAlign w:val="center"/>
          </w:tcPr>
          <w:p>
            <w:pPr>
              <w:widowControl w:val="0"/>
              <w:spacing w:after="0"/>
              <w:jc w:val="center"/>
              <w:rPr>
                <w:rFonts w:hint="eastAsia" w:ascii="Times New Roman" w:hAnsi="Times New Roman" w:eastAsia="宋体" w:cs="Times New Roman"/>
                <w:b w:val="0"/>
                <w:bCs/>
                <w:color w:val="000000"/>
                <w:sz w:val="21"/>
                <w:szCs w:val="21"/>
                <w:vertAlign w:val="baseline"/>
                <w:lang w:val="en-US" w:eastAsia="zh-CN" w:bidi="ar-SA"/>
              </w:rPr>
            </w:pPr>
            <w:r>
              <w:rPr>
                <w:rFonts w:hint="eastAsia" w:ascii="Times New Roman" w:hAnsi="Times New Roman" w:eastAsia="宋体" w:cs="Times New Roman"/>
                <w:b w:val="0"/>
                <w:bCs/>
                <w:color w:val="000000"/>
                <w:sz w:val="21"/>
                <w:szCs w:val="21"/>
                <w:vertAlign w:val="baseline"/>
                <w:lang w:val="en-US" w:eastAsia="zh-CN"/>
              </w:rPr>
              <w:t>4</w:t>
            </w:r>
          </w:p>
        </w:tc>
        <w:tc>
          <w:tcPr>
            <w:tcW w:w="7464" w:type="dxa"/>
            <w:tcBorders>
              <w:tl2br w:val="nil"/>
              <w:tr2bl w:val="nil"/>
            </w:tcBorders>
            <w:vAlign w:val="center"/>
          </w:tcPr>
          <w:p>
            <w:pPr>
              <w:widowControl w:val="0"/>
              <w:spacing w:after="0"/>
              <w:jc w:val="center"/>
              <w:rPr>
                <w:rFonts w:hint="default" w:ascii="Times New Roman" w:hAnsi="Times New Roman" w:eastAsia="宋体" w:cs="Times New Roman"/>
                <w:b w:val="0"/>
                <w:bCs/>
                <w:color w:val="000000"/>
                <w:sz w:val="21"/>
                <w:szCs w:val="21"/>
                <w:vertAlign w:val="baseline"/>
                <w:lang w:val="en-US" w:eastAsia="zh-CN"/>
              </w:rPr>
            </w:pPr>
            <w:r>
              <w:rPr>
                <w:rFonts w:hint="eastAsia" w:ascii="Times New Roman" w:hAnsi="Times New Roman" w:eastAsia="宋体" w:cs="Times New Roman"/>
                <w:b w:val="0"/>
                <w:bCs/>
                <w:color w:val="000000"/>
                <w:sz w:val="21"/>
                <w:szCs w:val="21"/>
                <w:vertAlign w:val="baseline"/>
                <w:lang w:val="en-US" w:eastAsia="zh-CN"/>
              </w:rPr>
              <w:t>优化工程施工周期，涉水施工应安排于枯水期进行施工作业，施工前应做好截排水及导流防护措施，严禁雨季洪水及径流等冲刷施工场地形成污染雨水。项目截排水及导流围堰等做好防冲刷设施，采用碎石压覆或草袋遮盖，严禁冲刷土质等的导流面，加剧水土流失并形成污染雨水。</w:t>
            </w:r>
          </w:p>
        </w:tc>
        <w:tc>
          <w:tcPr>
            <w:tcW w:w="4907" w:type="dxa"/>
            <w:tcBorders>
              <w:tl2br w:val="nil"/>
              <w:tr2bl w:val="nil"/>
            </w:tcBorders>
            <w:vAlign w:val="center"/>
          </w:tcPr>
          <w:p>
            <w:pPr>
              <w:widowControl w:val="0"/>
              <w:spacing w:after="0"/>
              <w:jc w:val="center"/>
              <w:rPr>
                <w:rFonts w:hint="default" w:ascii="Times New Roman" w:hAnsi="Times New Roman" w:eastAsia="宋体" w:cs="Times New Roman"/>
                <w:b w:val="0"/>
                <w:bCs/>
                <w:color w:val="000000"/>
                <w:sz w:val="21"/>
                <w:szCs w:val="21"/>
                <w:vertAlign w:val="baseline"/>
                <w:lang w:val="en-US" w:eastAsia="zh-CN"/>
              </w:rPr>
            </w:pPr>
            <w:r>
              <w:rPr>
                <w:rFonts w:hint="eastAsia" w:ascii="Times New Roman" w:hAnsi="Times New Roman" w:eastAsia="宋体" w:cs="Times New Roman"/>
                <w:b w:val="0"/>
                <w:bCs/>
                <w:color w:val="000000"/>
                <w:sz w:val="21"/>
                <w:szCs w:val="21"/>
                <w:vertAlign w:val="baseline"/>
                <w:lang w:val="en-US" w:eastAsia="zh-CN"/>
              </w:rPr>
              <w:t>施工期不涉及涉水施工，项目施工主要为水厂建设施工。</w:t>
            </w:r>
          </w:p>
        </w:tc>
        <w:tc>
          <w:tcPr>
            <w:tcW w:w="1115" w:type="dxa"/>
            <w:tcBorders>
              <w:tl2br w:val="nil"/>
              <w:tr2bl w:val="nil"/>
            </w:tcBorders>
            <w:vAlign w:val="center"/>
          </w:tcPr>
          <w:p>
            <w:pPr>
              <w:widowControl w:val="0"/>
              <w:spacing w:after="0"/>
              <w:jc w:val="center"/>
              <w:rPr>
                <w:rFonts w:hint="default" w:ascii="Times New Roman" w:hAnsi="Times New Roman" w:eastAsia="宋体" w:cs="Times New Roman"/>
                <w:b w:val="0"/>
                <w:bCs/>
                <w:color w:val="000000"/>
                <w:sz w:val="21"/>
                <w:szCs w:val="21"/>
                <w:vertAlign w:val="baseline"/>
                <w:lang w:val="en-US" w:eastAsia="zh-CN"/>
              </w:rPr>
            </w:pPr>
            <w:r>
              <w:rPr>
                <w:rFonts w:hint="eastAsia" w:ascii="Times New Roman" w:hAnsi="Times New Roman" w:eastAsia="宋体" w:cs="Times New Roman"/>
                <w:b w:val="0"/>
                <w:bCs/>
                <w:color w:val="000000"/>
                <w:sz w:val="21"/>
                <w:szCs w:val="21"/>
                <w:vertAlign w:val="baseline"/>
                <w:lang w:val="en-US" w:eastAsia="zh-CN"/>
              </w:rPr>
              <w:t>已落实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8" w:type="dxa"/>
            <w:tcBorders>
              <w:tl2br w:val="nil"/>
              <w:tr2bl w:val="nil"/>
            </w:tcBorders>
            <w:vAlign w:val="center"/>
          </w:tcPr>
          <w:p>
            <w:pPr>
              <w:widowControl w:val="0"/>
              <w:spacing w:after="0"/>
              <w:jc w:val="center"/>
              <w:rPr>
                <w:rFonts w:hint="eastAsia" w:ascii="Times New Roman" w:hAnsi="Times New Roman" w:eastAsia="宋体" w:cs="Times New Roman"/>
                <w:b w:val="0"/>
                <w:bCs/>
                <w:color w:val="000000"/>
                <w:sz w:val="21"/>
                <w:szCs w:val="21"/>
                <w:vertAlign w:val="baseline"/>
                <w:lang w:val="en-US" w:eastAsia="zh-CN" w:bidi="ar-SA"/>
              </w:rPr>
            </w:pPr>
            <w:r>
              <w:rPr>
                <w:rFonts w:hint="eastAsia" w:ascii="Times New Roman" w:hAnsi="Times New Roman" w:eastAsia="宋体" w:cs="Times New Roman"/>
                <w:b w:val="0"/>
                <w:bCs/>
                <w:color w:val="000000"/>
                <w:sz w:val="21"/>
                <w:szCs w:val="21"/>
                <w:vertAlign w:val="baseline"/>
                <w:lang w:val="en-US" w:eastAsia="zh-CN"/>
              </w:rPr>
              <w:t>5</w:t>
            </w:r>
          </w:p>
        </w:tc>
        <w:tc>
          <w:tcPr>
            <w:tcW w:w="7464" w:type="dxa"/>
            <w:tcBorders>
              <w:tl2br w:val="nil"/>
              <w:tr2bl w:val="nil"/>
            </w:tcBorders>
            <w:vAlign w:val="center"/>
          </w:tcPr>
          <w:p>
            <w:pPr>
              <w:widowControl w:val="0"/>
              <w:spacing w:after="0"/>
              <w:jc w:val="center"/>
              <w:rPr>
                <w:rFonts w:hint="eastAsia" w:ascii="Times New Roman" w:hAnsi="Times New Roman" w:eastAsia="宋体" w:cs="Times New Roman"/>
                <w:b w:val="0"/>
                <w:bCs/>
                <w:color w:val="000000"/>
                <w:sz w:val="21"/>
                <w:szCs w:val="21"/>
                <w:vertAlign w:val="baseline"/>
                <w:lang w:eastAsia="zh-CN"/>
              </w:rPr>
            </w:pPr>
            <w:r>
              <w:rPr>
                <w:rFonts w:hint="default" w:ascii="Times New Roman" w:hAnsi="Times New Roman" w:eastAsia="宋体" w:cs="Times New Roman"/>
                <w:b w:val="0"/>
                <w:bCs/>
                <w:color w:val="000000"/>
                <w:sz w:val="21"/>
                <w:szCs w:val="21"/>
                <w:vertAlign w:val="baseline"/>
              </w:rPr>
              <w:t>合理安排工期和适时使用施工机械设备，并采取有效的降噪措施，使施工噪声符合《建筑施工场界环境噪声排放标准》(GB12523-2011)的标准</w:t>
            </w:r>
            <w:r>
              <w:rPr>
                <w:rFonts w:hint="eastAsia" w:ascii="Times New Roman" w:hAnsi="Times New Roman" w:eastAsia="宋体" w:cs="Times New Roman"/>
                <w:b w:val="0"/>
                <w:bCs/>
                <w:color w:val="000000"/>
                <w:sz w:val="21"/>
                <w:szCs w:val="21"/>
                <w:vertAlign w:val="baseline"/>
                <w:lang w:eastAsia="zh-CN"/>
              </w:rPr>
              <w:t>。</w:t>
            </w:r>
          </w:p>
        </w:tc>
        <w:tc>
          <w:tcPr>
            <w:tcW w:w="4907" w:type="dxa"/>
            <w:tcBorders>
              <w:tl2br w:val="nil"/>
              <w:tr2bl w:val="nil"/>
            </w:tcBorders>
            <w:vAlign w:val="center"/>
          </w:tcPr>
          <w:p>
            <w:pPr>
              <w:widowControl w:val="0"/>
              <w:spacing w:after="0"/>
              <w:jc w:val="center"/>
              <w:rPr>
                <w:rFonts w:hint="eastAsia" w:ascii="Times New Roman" w:hAnsi="Times New Roman" w:eastAsia="宋体" w:cs="Times New Roman"/>
                <w:b w:val="0"/>
                <w:bCs/>
                <w:color w:val="000000"/>
                <w:sz w:val="21"/>
                <w:szCs w:val="21"/>
                <w:vertAlign w:val="baseline"/>
                <w:lang w:eastAsia="zh-CN"/>
              </w:rPr>
            </w:pPr>
            <w:r>
              <w:rPr>
                <w:rFonts w:hint="default" w:ascii="Times New Roman" w:hAnsi="Times New Roman" w:eastAsia="宋体" w:cs="Times New Roman"/>
                <w:b w:val="0"/>
                <w:bCs/>
                <w:color w:val="000000"/>
                <w:sz w:val="21"/>
                <w:szCs w:val="21"/>
                <w:vertAlign w:val="baseline"/>
              </w:rPr>
              <w:t>采取低噪声生产工艺，选用低噪声设备等措施</w:t>
            </w:r>
            <w:r>
              <w:rPr>
                <w:rFonts w:hint="eastAsia" w:ascii="Times New Roman" w:hAnsi="Times New Roman" w:eastAsia="宋体" w:cs="Times New Roman"/>
                <w:b w:val="0"/>
                <w:bCs/>
                <w:color w:val="000000"/>
                <w:sz w:val="21"/>
                <w:szCs w:val="21"/>
                <w:vertAlign w:val="baseline"/>
                <w:lang w:eastAsia="zh-CN"/>
              </w:rPr>
              <w:t>。</w:t>
            </w:r>
          </w:p>
        </w:tc>
        <w:tc>
          <w:tcPr>
            <w:tcW w:w="1115" w:type="dxa"/>
            <w:tcBorders>
              <w:tl2br w:val="nil"/>
              <w:tr2bl w:val="nil"/>
            </w:tcBorders>
            <w:vAlign w:val="center"/>
          </w:tcPr>
          <w:p>
            <w:pPr>
              <w:widowControl w:val="0"/>
              <w:spacing w:after="0"/>
              <w:jc w:val="center"/>
              <w:rPr>
                <w:rFonts w:hint="default" w:ascii="Times New Roman" w:hAnsi="Times New Roman" w:eastAsia="宋体" w:cs="Times New Roman"/>
                <w:b w:val="0"/>
                <w:bCs/>
                <w:color w:val="000000"/>
                <w:sz w:val="21"/>
                <w:szCs w:val="21"/>
                <w:vertAlign w:val="baseline"/>
              </w:rPr>
            </w:pPr>
            <w:r>
              <w:rPr>
                <w:rFonts w:hint="eastAsia" w:ascii="Times New Roman" w:hAnsi="Times New Roman" w:eastAsia="宋体" w:cs="Times New Roman"/>
                <w:b w:val="0"/>
                <w:bCs/>
                <w:color w:val="000000"/>
                <w:sz w:val="21"/>
                <w:szCs w:val="21"/>
                <w:vertAlign w:val="baseline"/>
                <w:lang w:val="en-US" w:eastAsia="zh-CN"/>
              </w:rPr>
              <w:t>已落实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8" w:type="dxa"/>
            <w:tcBorders>
              <w:tl2br w:val="nil"/>
              <w:tr2bl w:val="nil"/>
            </w:tcBorders>
            <w:vAlign w:val="center"/>
          </w:tcPr>
          <w:p>
            <w:pPr>
              <w:widowControl w:val="0"/>
              <w:spacing w:after="0"/>
              <w:jc w:val="center"/>
              <w:rPr>
                <w:rFonts w:hint="eastAsia" w:ascii="Times New Roman" w:hAnsi="Times New Roman" w:eastAsia="宋体" w:cs="Times New Roman"/>
                <w:b w:val="0"/>
                <w:bCs/>
                <w:color w:val="000000"/>
                <w:sz w:val="21"/>
                <w:szCs w:val="21"/>
                <w:vertAlign w:val="baseline"/>
                <w:lang w:val="en-US" w:eastAsia="zh-CN" w:bidi="ar-SA"/>
              </w:rPr>
            </w:pPr>
            <w:r>
              <w:rPr>
                <w:rFonts w:hint="eastAsia" w:ascii="Times New Roman" w:hAnsi="Times New Roman" w:eastAsia="宋体" w:cs="Times New Roman"/>
                <w:b w:val="0"/>
                <w:bCs/>
                <w:color w:val="000000"/>
                <w:sz w:val="21"/>
                <w:szCs w:val="21"/>
                <w:vertAlign w:val="baseline"/>
                <w:lang w:val="en-US" w:eastAsia="zh-CN"/>
              </w:rPr>
              <w:t>6</w:t>
            </w:r>
          </w:p>
        </w:tc>
        <w:tc>
          <w:tcPr>
            <w:tcW w:w="7464" w:type="dxa"/>
            <w:tcBorders>
              <w:tl2br w:val="nil"/>
              <w:tr2bl w:val="nil"/>
            </w:tcBorders>
            <w:vAlign w:val="center"/>
          </w:tcPr>
          <w:p>
            <w:pPr>
              <w:widowControl w:val="0"/>
              <w:spacing w:after="0"/>
              <w:jc w:val="center"/>
              <w:rPr>
                <w:rFonts w:hint="default" w:ascii="Times New Roman" w:hAnsi="Times New Roman" w:eastAsia="宋体" w:cs="Times New Roman"/>
                <w:b w:val="0"/>
                <w:bCs/>
                <w:color w:val="000000"/>
                <w:sz w:val="21"/>
                <w:szCs w:val="21"/>
                <w:vertAlign w:val="baseline"/>
              </w:rPr>
            </w:pPr>
            <w:r>
              <w:rPr>
                <w:rFonts w:hint="default" w:ascii="Times New Roman" w:hAnsi="Times New Roman" w:eastAsia="宋体" w:cs="Times New Roman"/>
                <w:b w:val="0"/>
                <w:bCs/>
                <w:color w:val="000000"/>
                <w:sz w:val="21"/>
                <w:szCs w:val="21"/>
                <w:vertAlign w:val="baseline"/>
              </w:rPr>
              <w:t>项目施工期严禁在工地焚烧、填埋生活垃圾，严禁向河道内倾倒垃圾、清洗车辆。</w:t>
            </w:r>
          </w:p>
        </w:tc>
        <w:tc>
          <w:tcPr>
            <w:tcW w:w="4907" w:type="dxa"/>
            <w:tcBorders>
              <w:tl2br w:val="nil"/>
              <w:tr2bl w:val="nil"/>
            </w:tcBorders>
            <w:vAlign w:val="center"/>
          </w:tcPr>
          <w:p>
            <w:pPr>
              <w:widowControl w:val="0"/>
              <w:spacing w:after="0"/>
              <w:jc w:val="center"/>
              <w:rPr>
                <w:rFonts w:hint="default" w:ascii="Times New Roman" w:hAnsi="Times New Roman" w:eastAsia="宋体" w:cs="Times New Roman"/>
                <w:b w:val="0"/>
                <w:bCs/>
                <w:color w:val="000000"/>
                <w:sz w:val="21"/>
                <w:szCs w:val="21"/>
                <w:vertAlign w:val="baseline"/>
              </w:rPr>
            </w:pPr>
            <w:r>
              <w:rPr>
                <w:rFonts w:hint="eastAsia" w:ascii="Times New Roman" w:hAnsi="Times New Roman" w:eastAsia="宋体" w:cs="Times New Roman"/>
                <w:b w:val="0"/>
                <w:bCs/>
                <w:color w:val="000000"/>
                <w:sz w:val="21"/>
                <w:szCs w:val="21"/>
                <w:vertAlign w:val="baseline"/>
                <w:lang w:val="en-US" w:eastAsia="zh-CN"/>
              </w:rPr>
              <w:t>施工期生活垃圾</w:t>
            </w:r>
            <w:r>
              <w:rPr>
                <w:rFonts w:hint="default" w:ascii="Times New Roman" w:hAnsi="Times New Roman" w:eastAsia="宋体" w:cs="Times New Roman"/>
                <w:b w:val="0"/>
                <w:bCs/>
                <w:color w:val="000000"/>
                <w:sz w:val="21"/>
                <w:szCs w:val="21"/>
                <w:vertAlign w:val="baseline"/>
              </w:rPr>
              <w:t>均妥善处置，未随意乱弃。</w:t>
            </w:r>
          </w:p>
        </w:tc>
        <w:tc>
          <w:tcPr>
            <w:tcW w:w="1115" w:type="dxa"/>
            <w:tcBorders>
              <w:tl2br w:val="nil"/>
              <w:tr2bl w:val="nil"/>
            </w:tcBorders>
            <w:vAlign w:val="center"/>
          </w:tcPr>
          <w:p>
            <w:pPr>
              <w:widowControl w:val="0"/>
              <w:spacing w:after="0"/>
              <w:jc w:val="center"/>
              <w:rPr>
                <w:rFonts w:hint="default" w:ascii="Times New Roman" w:hAnsi="Times New Roman" w:eastAsia="宋体" w:cs="Times New Roman"/>
                <w:b w:val="0"/>
                <w:bCs/>
                <w:color w:val="000000"/>
                <w:sz w:val="21"/>
                <w:szCs w:val="21"/>
                <w:vertAlign w:val="baseline"/>
              </w:rPr>
            </w:pPr>
            <w:r>
              <w:rPr>
                <w:rFonts w:hint="eastAsia" w:ascii="Times New Roman" w:hAnsi="Times New Roman" w:eastAsia="宋体" w:cs="Times New Roman"/>
                <w:b w:val="0"/>
                <w:bCs/>
                <w:color w:val="000000"/>
                <w:sz w:val="21"/>
                <w:szCs w:val="21"/>
                <w:vertAlign w:val="baseline"/>
                <w:lang w:val="en-US" w:eastAsia="zh-CN"/>
              </w:rPr>
              <w:t>已落实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8" w:type="dxa"/>
            <w:tcBorders>
              <w:tl2br w:val="nil"/>
              <w:tr2bl w:val="nil"/>
            </w:tcBorders>
            <w:vAlign w:val="center"/>
          </w:tcPr>
          <w:p>
            <w:pPr>
              <w:widowControl w:val="0"/>
              <w:spacing w:after="0"/>
              <w:jc w:val="center"/>
              <w:rPr>
                <w:rFonts w:hint="default" w:ascii="Times New Roman" w:hAnsi="Times New Roman" w:eastAsia="宋体" w:cs="Times New Roman"/>
                <w:b w:val="0"/>
                <w:bCs/>
                <w:color w:val="000000"/>
                <w:sz w:val="21"/>
                <w:szCs w:val="21"/>
                <w:vertAlign w:val="baseline"/>
                <w:lang w:val="en-US" w:eastAsia="zh-CN"/>
              </w:rPr>
            </w:pPr>
            <w:r>
              <w:rPr>
                <w:rFonts w:hint="eastAsia" w:ascii="Times New Roman" w:hAnsi="Times New Roman" w:eastAsia="宋体" w:cs="Times New Roman"/>
                <w:b w:val="0"/>
                <w:bCs/>
                <w:color w:val="000000"/>
                <w:sz w:val="21"/>
                <w:szCs w:val="21"/>
                <w:vertAlign w:val="baseline"/>
                <w:lang w:val="en-US" w:eastAsia="zh-CN"/>
              </w:rPr>
              <w:t>7</w:t>
            </w:r>
          </w:p>
        </w:tc>
        <w:tc>
          <w:tcPr>
            <w:tcW w:w="7464" w:type="dxa"/>
            <w:tcBorders>
              <w:tl2br w:val="nil"/>
              <w:tr2bl w:val="nil"/>
            </w:tcBorders>
            <w:vAlign w:val="center"/>
          </w:tcPr>
          <w:p>
            <w:pPr>
              <w:widowControl w:val="0"/>
              <w:spacing w:after="0"/>
              <w:jc w:val="center"/>
              <w:rPr>
                <w:rFonts w:hint="default" w:ascii="Times New Roman" w:hAnsi="Times New Roman" w:eastAsia="宋体" w:cs="Times New Roman"/>
                <w:b w:val="0"/>
                <w:bCs/>
                <w:color w:val="000000"/>
                <w:sz w:val="21"/>
                <w:szCs w:val="21"/>
                <w:vertAlign w:val="baseline"/>
              </w:rPr>
            </w:pPr>
            <w:r>
              <w:rPr>
                <w:rFonts w:hint="default" w:ascii="Times New Roman" w:hAnsi="Times New Roman" w:eastAsia="宋体" w:cs="Times New Roman"/>
                <w:b w:val="0"/>
                <w:bCs/>
                <w:color w:val="000000"/>
                <w:sz w:val="21"/>
                <w:szCs w:val="21"/>
                <w:vertAlign w:val="baseline"/>
              </w:rPr>
              <w:t>项目运营期间，必须对周边环境及临时占地进行植被恢复和绿化。</w:t>
            </w:r>
          </w:p>
        </w:tc>
        <w:tc>
          <w:tcPr>
            <w:tcW w:w="4907" w:type="dxa"/>
            <w:tcBorders>
              <w:tl2br w:val="nil"/>
              <w:tr2bl w:val="nil"/>
            </w:tcBorders>
            <w:vAlign w:val="center"/>
          </w:tcPr>
          <w:p>
            <w:pPr>
              <w:widowControl w:val="0"/>
              <w:spacing w:after="0"/>
              <w:jc w:val="center"/>
              <w:rPr>
                <w:rFonts w:hint="default" w:ascii="Times New Roman" w:hAnsi="Times New Roman" w:eastAsia="宋体" w:cs="Times New Roman"/>
                <w:b w:val="0"/>
                <w:bCs/>
                <w:color w:val="000000"/>
                <w:sz w:val="21"/>
                <w:szCs w:val="21"/>
                <w:vertAlign w:val="baseline"/>
                <w:lang w:val="en-US" w:eastAsia="zh-CN"/>
              </w:rPr>
            </w:pPr>
            <w:r>
              <w:rPr>
                <w:rFonts w:hint="default" w:ascii="Times New Roman" w:hAnsi="Times New Roman" w:eastAsia="宋体" w:cs="Times New Roman"/>
                <w:b w:val="0"/>
                <w:bCs/>
                <w:color w:val="000000"/>
                <w:sz w:val="21"/>
                <w:szCs w:val="21"/>
                <w:vertAlign w:val="baseline"/>
              </w:rPr>
              <w:t>周边环境及临时占地</w:t>
            </w:r>
            <w:r>
              <w:rPr>
                <w:rFonts w:hint="eastAsia" w:ascii="Times New Roman" w:hAnsi="Times New Roman" w:eastAsia="宋体" w:cs="Times New Roman"/>
                <w:b w:val="0"/>
                <w:bCs/>
                <w:color w:val="000000"/>
                <w:sz w:val="21"/>
                <w:szCs w:val="21"/>
                <w:vertAlign w:val="baseline"/>
                <w:lang w:val="en-US" w:eastAsia="zh-CN"/>
              </w:rPr>
              <w:t>已平整</w:t>
            </w:r>
            <w:r>
              <w:rPr>
                <w:rFonts w:hint="default" w:ascii="Times New Roman" w:hAnsi="Times New Roman" w:eastAsia="宋体" w:cs="Times New Roman"/>
                <w:b w:val="0"/>
                <w:bCs/>
                <w:color w:val="000000"/>
                <w:sz w:val="21"/>
                <w:szCs w:val="21"/>
                <w:vertAlign w:val="baseline"/>
              </w:rPr>
              <w:t>恢复</w:t>
            </w:r>
          </w:p>
        </w:tc>
        <w:tc>
          <w:tcPr>
            <w:tcW w:w="1115" w:type="dxa"/>
            <w:tcBorders>
              <w:tl2br w:val="nil"/>
              <w:tr2bl w:val="nil"/>
            </w:tcBorders>
            <w:vAlign w:val="center"/>
          </w:tcPr>
          <w:p>
            <w:pPr>
              <w:widowControl w:val="0"/>
              <w:spacing w:after="0"/>
              <w:jc w:val="center"/>
              <w:rPr>
                <w:rFonts w:hint="default" w:ascii="Times New Roman" w:hAnsi="Times New Roman" w:eastAsia="宋体" w:cs="Times New Roman"/>
                <w:b w:val="0"/>
                <w:bCs/>
                <w:color w:val="000000"/>
                <w:sz w:val="21"/>
                <w:szCs w:val="21"/>
                <w:vertAlign w:val="baseline"/>
              </w:rPr>
            </w:pPr>
            <w:r>
              <w:rPr>
                <w:rFonts w:hint="eastAsia" w:ascii="Times New Roman" w:hAnsi="Times New Roman" w:eastAsia="宋体" w:cs="Times New Roman"/>
                <w:b w:val="0"/>
                <w:bCs/>
                <w:color w:val="000000"/>
                <w:sz w:val="21"/>
                <w:szCs w:val="21"/>
                <w:vertAlign w:val="baseline"/>
                <w:lang w:val="en-US" w:eastAsia="zh-CN"/>
              </w:rPr>
              <w:t>已落实</w:t>
            </w:r>
          </w:p>
        </w:tc>
      </w:tr>
    </w:tbl>
    <w:p>
      <w:pPr>
        <w:pStyle w:val="8"/>
        <w:rPr>
          <w:rFonts w:hint="default" w:ascii="Times New Roman" w:hAnsi="Times New Roman" w:eastAsia="宋体" w:cs="Times New Roman"/>
          <w:b/>
          <w:bCs w:val="0"/>
          <w:color w:val="000000"/>
          <w:sz w:val="21"/>
          <w:szCs w:val="21"/>
        </w:rPr>
      </w:pPr>
    </w:p>
    <w:p>
      <w:pPr>
        <w:rPr>
          <w:rFonts w:hint="default"/>
        </w:rPr>
      </w:pPr>
    </w:p>
    <w:p>
      <w:pPr>
        <w:spacing w:after="0"/>
        <w:jc w:val="center"/>
        <w:rPr>
          <w:rFonts w:hint="default" w:ascii="Times New Roman" w:hAnsi="Times New Roman" w:eastAsia="宋体" w:cs="Times New Roman"/>
          <w:b w:val="0"/>
          <w:bCs/>
          <w:color w:val="000000"/>
          <w:sz w:val="21"/>
          <w:szCs w:val="21"/>
        </w:rPr>
      </w:pPr>
    </w:p>
    <w:p>
      <w:pPr>
        <w:jc w:val="both"/>
        <w:rPr>
          <w:rFonts w:eastAsia="仿宋_GB2312"/>
          <w:b/>
          <w:color w:val="000000"/>
          <w:sz w:val="24"/>
          <w:szCs w:val="24"/>
        </w:rPr>
      </w:pPr>
    </w:p>
    <w:p>
      <w:pPr>
        <w:jc w:val="both"/>
        <w:rPr>
          <w:rFonts w:eastAsia="仿宋_GB2312"/>
          <w:b/>
          <w:color w:val="000000"/>
          <w:sz w:val="24"/>
          <w:szCs w:val="24"/>
        </w:rPr>
        <w:sectPr>
          <w:pgSz w:w="16838" w:h="11906" w:orient="landscape"/>
          <w:pgMar w:top="1800" w:right="1440" w:bottom="1800" w:left="1440" w:header="708" w:footer="708" w:gutter="0"/>
          <w:pgBorders>
            <w:top w:val="none" w:sz="0" w:space="0"/>
            <w:left w:val="none" w:sz="0" w:space="0"/>
            <w:bottom w:val="none" w:sz="0" w:space="0"/>
            <w:right w:val="none" w:sz="0" w:space="0"/>
          </w:pgBorders>
          <w:pgNumType w:fmt="decimal"/>
          <w:cols w:space="720" w:num="1"/>
          <w:docGrid w:linePitch="360" w:charSpace="0"/>
        </w:sectPr>
      </w:pPr>
    </w:p>
    <w:p>
      <w:pPr>
        <w:spacing w:after="0"/>
        <w:jc w:val="center"/>
        <w:rPr>
          <w:rFonts w:hint="default" w:ascii="Times New Roman" w:hAnsi="Times New Roman" w:eastAsia="宋体" w:cs="Times New Roman"/>
          <w:b/>
          <w:bCs w:val="0"/>
          <w:color w:val="000000"/>
          <w:sz w:val="21"/>
          <w:szCs w:val="21"/>
        </w:rPr>
      </w:pPr>
      <w:r>
        <w:rPr>
          <w:rFonts w:hint="default" w:ascii="Times New Roman" w:hAnsi="Times New Roman" w:eastAsia="宋体" w:cs="Times New Roman"/>
          <w:b/>
          <w:bCs w:val="0"/>
          <w:color w:val="000000"/>
          <w:sz w:val="21"/>
          <w:szCs w:val="21"/>
        </w:rPr>
        <w:t>表3.</w:t>
      </w:r>
      <w:r>
        <w:rPr>
          <w:rFonts w:hint="eastAsia" w:ascii="Times New Roman" w:hAnsi="Times New Roman" w:eastAsia="宋体" w:cs="Times New Roman"/>
          <w:b/>
          <w:bCs w:val="0"/>
          <w:color w:val="000000"/>
          <w:sz w:val="21"/>
          <w:szCs w:val="21"/>
          <w:lang w:val="en-US" w:eastAsia="zh-CN"/>
        </w:rPr>
        <w:t>2</w:t>
      </w:r>
      <w:r>
        <w:rPr>
          <w:rFonts w:hint="default" w:ascii="Times New Roman" w:hAnsi="Times New Roman" w:eastAsia="宋体" w:cs="Times New Roman"/>
          <w:b/>
          <w:bCs w:val="0"/>
          <w:color w:val="000000"/>
          <w:sz w:val="21"/>
          <w:szCs w:val="21"/>
        </w:rPr>
        <w:t>-</w:t>
      </w:r>
      <w:r>
        <w:rPr>
          <w:rFonts w:hint="eastAsia" w:ascii="Times New Roman" w:hAnsi="Times New Roman" w:eastAsia="宋体" w:cs="Times New Roman"/>
          <w:b/>
          <w:bCs w:val="0"/>
          <w:color w:val="000000"/>
          <w:sz w:val="21"/>
          <w:szCs w:val="21"/>
          <w:lang w:val="en-US" w:eastAsia="zh-CN"/>
        </w:rPr>
        <w:t>3</w:t>
      </w:r>
      <w:r>
        <w:rPr>
          <w:rFonts w:hint="default" w:ascii="Times New Roman" w:hAnsi="Times New Roman" w:eastAsia="宋体" w:cs="Times New Roman"/>
          <w:b/>
          <w:bCs w:val="0"/>
          <w:color w:val="000000"/>
          <w:sz w:val="21"/>
          <w:szCs w:val="21"/>
        </w:rPr>
        <w:t xml:space="preserve"> </w:t>
      </w:r>
      <w:r>
        <w:rPr>
          <w:rFonts w:hint="eastAsia" w:ascii="Times New Roman" w:hAnsi="Times New Roman" w:eastAsia="宋体" w:cs="Times New Roman"/>
          <w:b/>
          <w:bCs w:val="0"/>
          <w:color w:val="000000"/>
          <w:sz w:val="21"/>
          <w:szCs w:val="21"/>
          <w:lang w:val="en-US" w:eastAsia="zh-CN"/>
        </w:rPr>
        <w:t xml:space="preserve"> </w:t>
      </w:r>
      <w:r>
        <w:rPr>
          <w:rFonts w:hint="default" w:ascii="Times New Roman" w:hAnsi="Times New Roman" w:eastAsia="宋体" w:cs="Times New Roman"/>
          <w:b/>
          <w:bCs w:val="0"/>
          <w:color w:val="000000"/>
          <w:sz w:val="21"/>
          <w:szCs w:val="21"/>
        </w:rPr>
        <w:t>项目实际环保建设内容及投资情况一览表</w:t>
      </w:r>
    </w:p>
    <w:tbl>
      <w:tblPr>
        <w:tblStyle w:val="11"/>
        <w:tblW w:w="1331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4668"/>
        <w:gridCol w:w="1064"/>
        <w:gridCol w:w="4695"/>
        <w:gridCol w:w="106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25" w:type="dxa"/>
            <w:vMerge w:val="restart"/>
            <w:tcBorders>
              <w:tl2br w:val="nil"/>
              <w:tr2bl w:val="nil"/>
            </w:tcBorders>
            <w:vAlign w:val="center"/>
          </w:tcPr>
          <w:p>
            <w:pPr>
              <w:widowControl w:val="0"/>
              <w:spacing w:after="0" w:line="240" w:lineRule="auto"/>
              <w:jc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项目</w:t>
            </w:r>
          </w:p>
        </w:tc>
        <w:tc>
          <w:tcPr>
            <w:tcW w:w="5732" w:type="dxa"/>
            <w:gridSpan w:val="2"/>
            <w:tcBorders>
              <w:tl2br w:val="nil"/>
              <w:tr2bl w:val="nil"/>
            </w:tcBorders>
            <w:vAlign w:val="center"/>
          </w:tcPr>
          <w:p>
            <w:pPr>
              <w:widowControl w:val="0"/>
              <w:spacing w:after="0" w:line="240" w:lineRule="auto"/>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环评阶段</w:t>
            </w:r>
          </w:p>
        </w:tc>
        <w:tc>
          <w:tcPr>
            <w:tcW w:w="5761" w:type="dxa"/>
            <w:gridSpan w:val="2"/>
            <w:tcBorders>
              <w:tl2br w:val="nil"/>
              <w:tr2bl w:val="nil"/>
            </w:tcBorders>
            <w:vAlign w:val="center"/>
          </w:tcPr>
          <w:p>
            <w:pPr>
              <w:widowControl w:val="0"/>
              <w:spacing w:after="0" w:line="240" w:lineRule="auto"/>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实际建设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25" w:type="dxa"/>
            <w:vMerge w:val="continue"/>
            <w:tcBorders>
              <w:tl2br w:val="nil"/>
              <w:tr2bl w:val="nil"/>
            </w:tcBorders>
            <w:vAlign w:val="center"/>
          </w:tcPr>
          <w:p>
            <w:pPr>
              <w:widowControl w:val="0"/>
              <w:spacing w:after="0" w:line="240" w:lineRule="auto"/>
              <w:jc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p>
        </w:tc>
        <w:tc>
          <w:tcPr>
            <w:tcW w:w="4668" w:type="dxa"/>
            <w:tcBorders>
              <w:tl2br w:val="nil"/>
              <w:tr2bl w:val="nil"/>
            </w:tcBorders>
            <w:vAlign w:val="center"/>
          </w:tcPr>
          <w:p>
            <w:pPr>
              <w:widowControl w:val="0"/>
              <w:spacing w:after="0" w:line="240" w:lineRule="auto"/>
              <w:jc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防治措施</w:t>
            </w:r>
          </w:p>
        </w:tc>
        <w:tc>
          <w:tcPr>
            <w:tcW w:w="1064" w:type="dxa"/>
            <w:tcBorders>
              <w:tl2br w:val="nil"/>
              <w:tr2bl w:val="nil"/>
            </w:tcBorders>
            <w:vAlign w:val="center"/>
          </w:tcPr>
          <w:p>
            <w:pPr>
              <w:widowControl w:val="0"/>
              <w:spacing w:after="0" w:line="24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投资</w:t>
            </w:r>
          </w:p>
          <w:p>
            <w:pPr>
              <w:widowControl w:val="0"/>
              <w:spacing w:after="0" w:line="240" w:lineRule="auto"/>
              <w:jc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（万元）</w:t>
            </w:r>
          </w:p>
        </w:tc>
        <w:tc>
          <w:tcPr>
            <w:tcW w:w="4695" w:type="dxa"/>
            <w:tcBorders>
              <w:tl2br w:val="nil"/>
              <w:tr2bl w:val="nil"/>
            </w:tcBorders>
            <w:vAlign w:val="center"/>
          </w:tcPr>
          <w:p>
            <w:pPr>
              <w:widowControl w:val="0"/>
              <w:spacing w:after="0" w:line="240" w:lineRule="auto"/>
              <w:jc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防治措施</w:t>
            </w:r>
          </w:p>
        </w:tc>
        <w:tc>
          <w:tcPr>
            <w:tcW w:w="1066" w:type="dxa"/>
            <w:tcBorders>
              <w:tl2br w:val="nil"/>
              <w:tr2bl w:val="nil"/>
            </w:tcBorders>
            <w:vAlign w:val="center"/>
          </w:tcPr>
          <w:p>
            <w:pPr>
              <w:widowControl w:val="0"/>
              <w:spacing w:after="0" w:line="24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投资</w:t>
            </w:r>
          </w:p>
          <w:p>
            <w:pPr>
              <w:widowControl w:val="0"/>
              <w:spacing w:after="0" w:line="240" w:lineRule="auto"/>
              <w:jc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（万元）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25" w:type="dxa"/>
            <w:tcBorders>
              <w:tl2br w:val="nil"/>
              <w:tr2bl w:val="nil"/>
            </w:tcBorders>
            <w:vAlign w:val="center"/>
          </w:tcPr>
          <w:p>
            <w:pPr>
              <w:widowControl w:val="0"/>
              <w:spacing w:after="0" w:line="24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大气污染防治</w:t>
            </w:r>
          </w:p>
        </w:tc>
        <w:tc>
          <w:tcPr>
            <w:tcW w:w="4668" w:type="dxa"/>
            <w:tcBorders>
              <w:tl2br w:val="nil"/>
              <w:tr2bl w:val="nil"/>
            </w:tcBorders>
            <w:vAlign w:val="center"/>
          </w:tcPr>
          <w:p>
            <w:pPr>
              <w:widowControl w:val="0"/>
              <w:spacing w:after="0" w:line="24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洒水抑尘、运输车辆遮盖等措施</w:t>
            </w:r>
          </w:p>
        </w:tc>
        <w:tc>
          <w:tcPr>
            <w:tcW w:w="1064" w:type="dxa"/>
            <w:tcBorders>
              <w:tl2br w:val="nil"/>
              <w:tr2bl w:val="nil"/>
            </w:tcBorders>
            <w:vAlign w:val="center"/>
          </w:tcPr>
          <w:p>
            <w:pPr>
              <w:widowControl w:val="0"/>
              <w:spacing w:after="0"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5</w:t>
            </w:r>
          </w:p>
        </w:tc>
        <w:tc>
          <w:tcPr>
            <w:tcW w:w="4695" w:type="dxa"/>
            <w:tcBorders>
              <w:tl2br w:val="nil"/>
              <w:tr2bl w:val="nil"/>
            </w:tcBorders>
            <w:vAlign w:val="center"/>
          </w:tcPr>
          <w:p>
            <w:pPr>
              <w:widowControl w:val="0"/>
              <w:spacing w:after="0" w:line="240" w:lineRule="auto"/>
              <w:jc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洒水抑尘、运输车辆遮盖等措施</w:t>
            </w:r>
          </w:p>
        </w:tc>
        <w:tc>
          <w:tcPr>
            <w:tcW w:w="1066" w:type="dxa"/>
            <w:tcBorders>
              <w:tl2br w:val="nil"/>
              <w:tr2bl w:val="nil"/>
            </w:tcBorders>
            <w:vAlign w:val="center"/>
          </w:tcPr>
          <w:p>
            <w:pPr>
              <w:widowControl w:val="0"/>
              <w:spacing w:after="0" w:line="240" w:lineRule="auto"/>
              <w:jc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25" w:type="dxa"/>
            <w:tcBorders>
              <w:tl2br w:val="nil"/>
              <w:tr2bl w:val="nil"/>
            </w:tcBorders>
            <w:vAlign w:val="center"/>
          </w:tcPr>
          <w:p>
            <w:pPr>
              <w:widowControl w:val="0"/>
              <w:spacing w:after="0" w:line="24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水污染防治</w:t>
            </w:r>
          </w:p>
        </w:tc>
        <w:tc>
          <w:tcPr>
            <w:tcW w:w="4668" w:type="dxa"/>
            <w:tcBorders>
              <w:tl2br w:val="nil"/>
              <w:tr2bl w:val="nil"/>
            </w:tcBorders>
            <w:vAlign w:val="center"/>
          </w:tcPr>
          <w:p>
            <w:pPr>
              <w:widowControl w:val="0"/>
              <w:spacing w:after="0" w:line="240" w:lineRule="auto"/>
              <w:jc w:val="center"/>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生产废水处理设沉淀池</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玻璃钢化粪池</w:t>
            </w:r>
          </w:p>
        </w:tc>
        <w:tc>
          <w:tcPr>
            <w:tcW w:w="1064" w:type="dxa"/>
            <w:tcBorders>
              <w:tl2br w:val="nil"/>
              <w:tr2bl w:val="nil"/>
            </w:tcBorders>
            <w:vAlign w:val="center"/>
          </w:tcPr>
          <w:p>
            <w:pPr>
              <w:widowControl w:val="0"/>
              <w:spacing w:after="0"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5</w:t>
            </w:r>
          </w:p>
        </w:tc>
        <w:tc>
          <w:tcPr>
            <w:tcW w:w="4695" w:type="dxa"/>
            <w:tcBorders>
              <w:tl2br w:val="nil"/>
              <w:tr2bl w:val="nil"/>
            </w:tcBorders>
            <w:vAlign w:val="center"/>
          </w:tcPr>
          <w:p>
            <w:pPr>
              <w:widowControl w:val="0"/>
              <w:spacing w:after="0" w:line="240" w:lineRule="auto"/>
              <w:jc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生产废水处理设沉淀池</w:t>
            </w:r>
          </w:p>
        </w:tc>
        <w:tc>
          <w:tcPr>
            <w:tcW w:w="1066" w:type="dxa"/>
            <w:tcBorders>
              <w:tl2br w:val="nil"/>
              <w:tr2bl w:val="nil"/>
            </w:tcBorders>
            <w:vAlign w:val="center"/>
          </w:tcPr>
          <w:p>
            <w:pPr>
              <w:widowControl w:val="0"/>
              <w:spacing w:after="0" w:line="240" w:lineRule="auto"/>
              <w:jc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25" w:type="dxa"/>
            <w:tcBorders>
              <w:tl2br w:val="nil"/>
              <w:tr2bl w:val="nil"/>
            </w:tcBorders>
            <w:vAlign w:val="center"/>
          </w:tcPr>
          <w:p>
            <w:pPr>
              <w:widowControl w:val="0"/>
              <w:spacing w:after="0" w:line="24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固体废物处理</w:t>
            </w:r>
          </w:p>
        </w:tc>
        <w:tc>
          <w:tcPr>
            <w:tcW w:w="4668" w:type="dxa"/>
            <w:tcBorders>
              <w:tl2br w:val="nil"/>
              <w:tr2bl w:val="nil"/>
            </w:tcBorders>
            <w:vAlign w:val="center"/>
          </w:tcPr>
          <w:p>
            <w:pPr>
              <w:widowControl w:val="0"/>
              <w:spacing w:after="0" w:line="24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建筑垃圾、生活垃圾妥善处置</w:t>
            </w:r>
          </w:p>
        </w:tc>
        <w:tc>
          <w:tcPr>
            <w:tcW w:w="1064" w:type="dxa"/>
            <w:tcBorders>
              <w:tl2br w:val="nil"/>
              <w:tr2bl w:val="nil"/>
            </w:tcBorders>
            <w:vAlign w:val="center"/>
          </w:tcPr>
          <w:p>
            <w:pPr>
              <w:widowControl w:val="0"/>
              <w:spacing w:after="0"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0.1</w:t>
            </w:r>
          </w:p>
        </w:tc>
        <w:tc>
          <w:tcPr>
            <w:tcW w:w="4695" w:type="dxa"/>
            <w:tcBorders>
              <w:tl2br w:val="nil"/>
              <w:tr2bl w:val="nil"/>
            </w:tcBorders>
            <w:vAlign w:val="center"/>
          </w:tcPr>
          <w:p>
            <w:pPr>
              <w:widowControl w:val="0"/>
              <w:spacing w:after="0" w:line="240" w:lineRule="auto"/>
              <w:jc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建筑垃圾、生活垃圾妥善处置</w:t>
            </w:r>
          </w:p>
        </w:tc>
        <w:tc>
          <w:tcPr>
            <w:tcW w:w="1066" w:type="dxa"/>
            <w:tcBorders>
              <w:tl2br w:val="nil"/>
              <w:tr2bl w:val="nil"/>
            </w:tcBorders>
            <w:vAlign w:val="center"/>
          </w:tcPr>
          <w:p>
            <w:pPr>
              <w:widowControl w:val="0"/>
              <w:spacing w:after="0" w:line="240" w:lineRule="auto"/>
              <w:jc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25" w:type="dxa"/>
            <w:tcBorders>
              <w:tl2br w:val="nil"/>
              <w:tr2bl w:val="nil"/>
            </w:tcBorders>
            <w:vAlign w:val="center"/>
          </w:tcPr>
          <w:p>
            <w:pPr>
              <w:widowControl w:val="0"/>
              <w:spacing w:after="0" w:line="24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噪声污染防治</w:t>
            </w:r>
          </w:p>
        </w:tc>
        <w:tc>
          <w:tcPr>
            <w:tcW w:w="4668" w:type="dxa"/>
            <w:tcBorders>
              <w:tl2br w:val="nil"/>
              <w:tr2bl w:val="nil"/>
            </w:tcBorders>
            <w:vAlign w:val="center"/>
          </w:tcPr>
          <w:p>
            <w:pPr>
              <w:widowControl w:val="0"/>
              <w:spacing w:after="0" w:line="24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吸声材料、隔声门窗、禁鸣牌</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减振措施</w:t>
            </w:r>
          </w:p>
        </w:tc>
        <w:tc>
          <w:tcPr>
            <w:tcW w:w="1064" w:type="dxa"/>
            <w:tcBorders>
              <w:tl2br w:val="nil"/>
              <w:tr2bl w:val="nil"/>
            </w:tcBorders>
            <w:vAlign w:val="center"/>
          </w:tcPr>
          <w:p>
            <w:pPr>
              <w:widowControl w:val="0"/>
              <w:spacing w:after="0"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0.1</w:t>
            </w:r>
          </w:p>
        </w:tc>
        <w:tc>
          <w:tcPr>
            <w:tcW w:w="4695" w:type="dxa"/>
            <w:tcBorders>
              <w:tl2br w:val="nil"/>
              <w:tr2bl w:val="nil"/>
            </w:tcBorders>
            <w:vAlign w:val="center"/>
          </w:tcPr>
          <w:p>
            <w:pPr>
              <w:widowControl w:val="0"/>
              <w:spacing w:after="0" w:line="240" w:lineRule="auto"/>
              <w:jc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吸声材料、隔声门窗、减振措施</w:t>
            </w:r>
          </w:p>
        </w:tc>
        <w:tc>
          <w:tcPr>
            <w:tcW w:w="1066" w:type="dxa"/>
            <w:tcBorders>
              <w:tl2br w:val="nil"/>
              <w:tr2bl w:val="nil"/>
            </w:tcBorders>
            <w:vAlign w:val="center"/>
          </w:tcPr>
          <w:p>
            <w:pPr>
              <w:widowControl w:val="0"/>
              <w:spacing w:after="0" w:line="240" w:lineRule="auto"/>
              <w:jc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25" w:type="dxa"/>
            <w:tcBorders>
              <w:tl2br w:val="nil"/>
              <w:tr2bl w:val="nil"/>
            </w:tcBorders>
            <w:vAlign w:val="center"/>
          </w:tcPr>
          <w:p>
            <w:pPr>
              <w:widowControl w:val="0"/>
              <w:spacing w:after="0" w:line="24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设施维护</w:t>
            </w:r>
          </w:p>
        </w:tc>
        <w:tc>
          <w:tcPr>
            <w:tcW w:w="4668" w:type="dxa"/>
            <w:tcBorders>
              <w:tl2br w:val="nil"/>
              <w:tr2bl w:val="nil"/>
            </w:tcBorders>
            <w:vAlign w:val="center"/>
          </w:tcPr>
          <w:p>
            <w:pPr>
              <w:widowControl w:val="0"/>
              <w:spacing w:after="0" w:line="24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环保设施运行、维护</w:t>
            </w:r>
          </w:p>
        </w:tc>
        <w:tc>
          <w:tcPr>
            <w:tcW w:w="1064" w:type="dxa"/>
            <w:tcBorders>
              <w:tl2br w:val="nil"/>
              <w:tr2bl w:val="nil"/>
            </w:tcBorders>
            <w:vAlign w:val="center"/>
          </w:tcPr>
          <w:p>
            <w:pPr>
              <w:widowControl w:val="0"/>
              <w:spacing w:after="0"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0.1</w:t>
            </w:r>
          </w:p>
        </w:tc>
        <w:tc>
          <w:tcPr>
            <w:tcW w:w="4695" w:type="dxa"/>
            <w:tcBorders>
              <w:tl2br w:val="nil"/>
              <w:tr2bl w:val="nil"/>
            </w:tcBorders>
            <w:vAlign w:val="center"/>
          </w:tcPr>
          <w:p>
            <w:pPr>
              <w:widowControl w:val="0"/>
              <w:spacing w:after="0" w:line="240" w:lineRule="auto"/>
              <w:jc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环保设施运行、维护</w:t>
            </w:r>
          </w:p>
        </w:tc>
        <w:tc>
          <w:tcPr>
            <w:tcW w:w="1066" w:type="dxa"/>
            <w:tcBorders>
              <w:tl2br w:val="nil"/>
              <w:tr2bl w:val="nil"/>
            </w:tcBorders>
            <w:vAlign w:val="center"/>
          </w:tcPr>
          <w:p>
            <w:pPr>
              <w:widowControl w:val="0"/>
              <w:spacing w:after="0" w:line="240" w:lineRule="auto"/>
              <w:jc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25" w:type="dxa"/>
            <w:tcBorders>
              <w:tl2br w:val="nil"/>
              <w:tr2bl w:val="nil"/>
            </w:tcBorders>
            <w:vAlign w:val="center"/>
          </w:tcPr>
          <w:p>
            <w:pPr>
              <w:widowControl w:val="0"/>
              <w:spacing w:after="0" w:line="24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绿化工程</w:t>
            </w:r>
          </w:p>
        </w:tc>
        <w:tc>
          <w:tcPr>
            <w:tcW w:w="46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场区及四周绿化，绿化用地面积</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3645.26</w:t>
            </w:r>
            <w:r>
              <w:rPr>
                <w:rFonts w:hint="default" w:ascii="Times New Roman" w:hAnsi="Times New Roman" w:eastAsia="宋体" w:cs="Times New Roman"/>
                <w:color w:val="000000" w:themeColor="text1"/>
                <w:sz w:val="21"/>
                <w:szCs w:val="21"/>
                <w14:textFill>
                  <w14:solidFill>
                    <w14:schemeClr w14:val="tx1"/>
                  </w14:solidFill>
                </w14:textFill>
              </w:rPr>
              <w:t>m</w:t>
            </w:r>
            <w:r>
              <w:rPr>
                <w:rFonts w:hint="eastAsia" w:ascii="Times New Roman" w:hAnsi="Times New Roman" w:eastAsia="宋体" w:cs="Times New Roman"/>
                <w:color w:val="000000" w:themeColor="text1"/>
                <w:sz w:val="21"/>
                <w:szCs w:val="21"/>
                <w:vertAlign w:val="superscript"/>
                <w:lang w:val="en-US" w:eastAsia="zh-CN"/>
                <w14:textFill>
                  <w14:solidFill>
                    <w14:schemeClr w14:val="tx1"/>
                  </w14:solidFill>
                </w14:textFill>
              </w:rPr>
              <w:t>2</w:t>
            </w:r>
          </w:p>
        </w:tc>
        <w:tc>
          <w:tcPr>
            <w:tcW w:w="1064" w:type="dxa"/>
            <w:tcBorders>
              <w:tl2br w:val="nil"/>
              <w:tr2bl w:val="nil"/>
            </w:tcBorders>
            <w:vAlign w:val="center"/>
          </w:tcPr>
          <w:p>
            <w:pPr>
              <w:widowControl w:val="0"/>
              <w:spacing w:after="0"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w:t>
            </w:r>
          </w:p>
        </w:tc>
        <w:tc>
          <w:tcPr>
            <w:tcW w:w="46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center"/>
              <w:textAlignment w:val="auto"/>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场区及四周绿化</w:t>
            </w:r>
          </w:p>
        </w:tc>
        <w:tc>
          <w:tcPr>
            <w:tcW w:w="1066" w:type="dxa"/>
            <w:tcBorders>
              <w:tl2br w:val="nil"/>
              <w:tr2bl w:val="nil"/>
            </w:tcBorders>
            <w:vAlign w:val="center"/>
          </w:tcPr>
          <w:p>
            <w:pPr>
              <w:widowControl w:val="0"/>
              <w:spacing w:after="0" w:line="240" w:lineRule="auto"/>
              <w:jc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25" w:type="dxa"/>
            <w:tcBorders>
              <w:tl2br w:val="nil"/>
              <w:tr2bl w:val="nil"/>
            </w:tcBorders>
            <w:vAlign w:val="center"/>
          </w:tcPr>
          <w:p>
            <w:pPr>
              <w:widowControl w:val="0"/>
              <w:spacing w:after="0" w:line="240" w:lineRule="auto"/>
              <w:jc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sz w:val="21"/>
                <w:szCs w:val="21"/>
                <w:lang w:val="en-US" w:eastAsia="zh-CN"/>
              </w:rPr>
              <w:t>环评报告表编制费用</w:t>
            </w:r>
          </w:p>
        </w:tc>
        <w:tc>
          <w:tcPr>
            <w:tcW w:w="5732" w:type="dxa"/>
            <w:gridSpan w:val="2"/>
            <w:tcBorders>
              <w:tl2br w:val="nil"/>
              <w:tr2bl w:val="nil"/>
            </w:tcBorders>
            <w:vAlign w:val="center"/>
          </w:tcPr>
          <w:p>
            <w:pPr>
              <w:widowControl w:val="0"/>
              <w:spacing w:after="0"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5</w:t>
            </w:r>
          </w:p>
        </w:tc>
        <w:tc>
          <w:tcPr>
            <w:tcW w:w="5761" w:type="dxa"/>
            <w:gridSpan w:val="2"/>
            <w:tcBorders>
              <w:tl2br w:val="nil"/>
              <w:tr2bl w:val="nil"/>
            </w:tcBorders>
            <w:vAlign w:val="center"/>
          </w:tcPr>
          <w:p>
            <w:pPr>
              <w:widowControl w:val="0"/>
              <w:spacing w:after="0"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25" w:type="dxa"/>
            <w:tcBorders>
              <w:tl2br w:val="nil"/>
              <w:tr2bl w:val="nil"/>
            </w:tcBorders>
            <w:vAlign w:val="center"/>
          </w:tcPr>
          <w:p>
            <w:pPr>
              <w:widowControl w:val="0"/>
              <w:spacing w:after="0" w:line="240" w:lineRule="auto"/>
              <w:jc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sz w:val="21"/>
                <w:szCs w:val="21"/>
                <w:lang w:val="en-US" w:eastAsia="zh-CN"/>
              </w:rPr>
              <w:t>竣工验收报告表编制费用</w:t>
            </w:r>
          </w:p>
        </w:tc>
        <w:tc>
          <w:tcPr>
            <w:tcW w:w="5732" w:type="dxa"/>
            <w:gridSpan w:val="2"/>
            <w:tcBorders>
              <w:tl2br w:val="nil"/>
              <w:tr2bl w:val="nil"/>
            </w:tcBorders>
            <w:vAlign w:val="center"/>
          </w:tcPr>
          <w:p>
            <w:pPr>
              <w:widowControl w:val="0"/>
              <w:spacing w:after="0"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3.5</w:t>
            </w:r>
          </w:p>
        </w:tc>
        <w:tc>
          <w:tcPr>
            <w:tcW w:w="5761" w:type="dxa"/>
            <w:gridSpan w:val="2"/>
            <w:tcBorders>
              <w:tl2br w:val="nil"/>
              <w:tr2bl w:val="nil"/>
            </w:tcBorders>
            <w:vAlign w:val="center"/>
          </w:tcPr>
          <w:p>
            <w:pPr>
              <w:widowControl w:val="0"/>
              <w:spacing w:after="0"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3.5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25" w:type="dxa"/>
            <w:tcBorders>
              <w:tl2br w:val="nil"/>
              <w:tr2bl w:val="nil"/>
            </w:tcBorders>
            <w:vAlign w:val="center"/>
          </w:tcPr>
          <w:p>
            <w:pPr>
              <w:widowControl w:val="0"/>
              <w:spacing w:after="0" w:line="24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合计</w:t>
            </w:r>
          </w:p>
        </w:tc>
        <w:tc>
          <w:tcPr>
            <w:tcW w:w="5732" w:type="dxa"/>
            <w:gridSpan w:val="2"/>
            <w:tcBorders>
              <w:tl2br w:val="nil"/>
              <w:tr2bl w:val="nil"/>
            </w:tcBorders>
            <w:vAlign w:val="center"/>
          </w:tcPr>
          <w:p>
            <w:pPr>
              <w:widowControl w:val="0"/>
              <w:spacing w:after="0" w:line="240" w:lineRule="auto"/>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10</w:t>
            </w:r>
          </w:p>
        </w:tc>
        <w:tc>
          <w:tcPr>
            <w:tcW w:w="5761" w:type="dxa"/>
            <w:gridSpan w:val="2"/>
            <w:tcBorders>
              <w:tl2br w:val="nil"/>
              <w:tr2bl w:val="nil"/>
            </w:tcBorders>
            <w:vAlign w:val="center"/>
          </w:tcPr>
          <w:p>
            <w:pPr>
              <w:widowControl w:val="0"/>
              <w:spacing w:after="0"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10</w:t>
            </w:r>
          </w:p>
        </w:tc>
      </w:tr>
    </w:tbl>
    <w:p>
      <w:pPr>
        <w:pStyle w:val="8"/>
        <w:rPr>
          <w:rFonts w:hint="default" w:ascii="Times New Roman" w:hAnsi="Times New Roman" w:eastAsia="宋体" w:cs="Times New Roman"/>
          <w:b/>
          <w:bCs w:val="0"/>
          <w:color w:val="000000"/>
          <w:sz w:val="21"/>
          <w:szCs w:val="21"/>
        </w:rPr>
      </w:pPr>
    </w:p>
    <w:p>
      <w:pPr>
        <w:rPr>
          <w:rFonts w:hint="default"/>
        </w:rPr>
      </w:pPr>
    </w:p>
    <w:p>
      <w:pPr>
        <w:spacing w:after="0"/>
        <w:jc w:val="center"/>
        <w:rPr>
          <w:rFonts w:hint="default" w:ascii="Times New Roman" w:hAnsi="Times New Roman" w:eastAsia="宋体" w:cs="Times New Roman"/>
          <w:b w:val="0"/>
          <w:bCs/>
          <w:color w:val="000000"/>
          <w:sz w:val="21"/>
          <w:szCs w:val="21"/>
        </w:rPr>
      </w:pPr>
    </w:p>
    <w:p>
      <w:pPr>
        <w:jc w:val="both"/>
        <w:rPr>
          <w:rFonts w:eastAsia="仿宋_GB2312"/>
          <w:b/>
          <w:color w:val="000000"/>
          <w:sz w:val="24"/>
          <w:szCs w:val="24"/>
        </w:rPr>
      </w:pPr>
    </w:p>
    <w:p>
      <w:pPr>
        <w:jc w:val="both"/>
        <w:rPr>
          <w:rFonts w:eastAsia="仿宋_GB2312"/>
          <w:b/>
          <w:color w:val="000000"/>
          <w:sz w:val="24"/>
          <w:szCs w:val="24"/>
        </w:rPr>
        <w:sectPr>
          <w:pgSz w:w="16838" w:h="11906" w:orient="landscape"/>
          <w:pgMar w:top="1800" w:right="1440" w:bottom="1800" w:left="1440" w:header="708" w:footer="708" w:gutter="0"/>
          <w:pgBorders>
            <w:top w:val="none" w:sz="0" w:space="0"/>
            <w:left w:val="none" w:sz="0" w:space="0"/>
            <w:bottom w:val="none" w:sz="0" w:space="0"/>
            <w:right w:val="none" w:sz="0" w:space="0"/>
          </w:pgBorders>
          <w:pgNumType w:fmt="decimal"/>
          <w:cols w:space="720" w:num="1"/>
          <w:docGrid w:linePitch="360" w:charSpace="0"/>
        </w:sect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6"/>
        <w:gridCol w:w="4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06" w:type="dxa"/>
          </w:tcPr>
          <w:p>
            <w:pPr>
              <w:widowControl w:val="0"/>
              <w:spacing w:after="0" w:afterLines="0" w:line="360" w:lineRule="auto"/>
              <w:jc w:val="both"/>
              <w:rPr>
                <w:rFonts w:hint="eastAsia" w:eastAsia="仿宋_GB2312"/>
                <w:b/>
                <w:color w:val="auto"/>
                <w:sz w:val="24"/>
                <w:szCs w:val="24"/>
                <w:vertAlign w:val="baseline"/>
                <w:lang w:eastAsia="zh-CN"/>
              </w:rPr>
            </w:pPr>
            <w:r>
              <w:rPr>
                <w:rFonts w:hint="eastAsia" w:eastAsia="仿宋_GB2312"/>
                <w:b/>
                <w:color w:val="auto"/>
                <w:sz w:val="24"/>
                <w:szCs w:val="24"/>
                <w:vertAlign w:val="baseline"/>
                <w:lang w:eastAsia="zh-CN"/>
              </w:rPr>
              <w:drawing>
                <wp:inline distT="0" distB="0" distL="114300" distR="114300">
                  <wp:extent cx="2560320" cy="2310130"/>
                  <wp:effectExtent l="0" t="0" r="11430" b="13970"/>
                  <wp:docPr id="9" name="图片 9" descr="24315234ce8b4b896603fc3252811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4315234ce8b4b896603fc3252811c4"/>
                          <pic:cNvPicPr>
                            <a:picLocks noChangeAspect="1"/>
                          </pic:cNvPicPr>
                        </pic:nvPicPr>
                        <pic:blipFill>
                          <a:blip r:embed="rId8"/>
                          <a:stretch>
                            <a:fillRect/>
                          </a:stretch>
                        </pic:blipFill>
                        <pic:spPr>
                          <a:xfrm>
                            <a:off x="0" y="0"/>
                            <a:ext cx="2560320" cy="2310130"/>
                          </a:xfrm>
                          <a:prstGeom prst="rect">
                            <a:avLst/>
                          </a:prstGeom>
                        </pic:spPr>
                      </pic:pic>
                    </a:graphicData>
                  </a:graphic>
                </wp:inline>
              </w:drawing>
            </w:r>
          </w:p>
        </w:tc>
        <w:tc>
          <w:tcPr>
            <w:tcW w:w="4216" w:type="dxa"/>
          </w:tcPr>
          <w:p>
            <w:pPr>
              <w:widowControl w:val="0"/>
              <w:spacing w:after="0" w:afterLines="0" w:line="360" w:lineRule="auto"/>
              <w:jc w:val="both"/>
              <w:rPr>
                <w:rFonts w:hint="eastAsia" w:eastAsia="仿宋_GB2312"/>
                <w:b/>
                <w:color w:val="auto"/>
                <w:sz w:val="24"/>
                <w:szCs w:val="24"/>
                <w:vertAlign w:val="baseline"/>
                <w:lang w:eastAsia="zh-CN"/>
              </w:rPr>
            </w:pPr>
            <w:r>
              <w:rPr>
                <w:rFonts w:hint="eastAsia" w:eastAsia="仿宋_GB2312"/>
                <w:b/>
                <w:color w:val="auto"/>
                <w:sz w:val="24"/>
                <w:szCs w:val="24"/>
                <w:vertAlign w:val="baseline"/>
                <w:lang w:eastAsia="zh-CN"/>
              </w:rPr>
              <w:drawing>
                <wp:inline distT="0" distB="0" distL="114300" distR="114300">
                  <wp:extent cx="2548255" cy="2277110"/>
                  <wp:effectExtent l="0" t="0" r="4445" b="8890"/>
                  <wp:docPr id="13" name="图片 13" descr="5675706761a080224e5250017d02a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5675706761a080224e5250017d02a7a"/>
                          <pic:cNvPicPr>
                            <a:picLocks noChangeAspect="1"/>
                          </pic:cNvPicPr>
                        </pic:nvPicPr>
                        <pic:blipFill>
                          <a:blip r:embed="rId9"/>
                          <a:srcRect t="25431"/>
                          <a:stretch>
                            <a:fillRect/>
                          </a:stretch>
                        </pic:blipFill>
                        <pic:spPr>
                          <a:xfrm>
                            <a:off x="0" y="0"/>
                            <a:ext cx="2548255" cy="227711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6" w:type="dxa"/>
          </w:tcPr>
          <w:p>
            <w:pPr>
              <w:widowControl w:val="0"/>
              <w:spacing w:after="0" w:afterLines="0" w:line="360" w:lineRule="auto"/>
              <w:jc w:val="center"/>
              <w:rPr>
                <w:rFonts w:hint="default" w:eastAsia="仿宋_GB2312"/>
                <w:b/>
                <w:color w:val="auto"/>
                <w:sz w:val="24"/>
                <w:szCs w:val="24"/>
                <w:vertAlign w:val="baseline"/>
                <w:lang w:val="en-US" w:eastAsia="zh-CN"/>
              </w:rPr>
            </w:pPr>
            <w:r>
              <w:rPr>
                <w:rFonts w:hint="eastAsia" w:eastAsia="仿宋_GB2312"/>
                <w:b/>
                <w:color w:val="auto"/>
                <w:sz w:val="24"/>
                <w:szCs w:val="24"/>
                <w:vertAlign w:val="baseline"/>
                <w:lang w:val="en-US" w:eastAsia="zh-CN"/>
              </w:rPr>
              <w:t>净水厂地面硬化</w:t>
            </w:r>
          </w:p>
        </w:tc>
        <w:tc>
          <w:tcPr>
            <w:tcW w:w="4216" w:type="dxa"/>
          </w:tcPr>
          <w:p>
            <w:pPr>
              <w:widowControl w:val="0"/>
              <w:spacing w:after="0" w:afterLines="0" w:line="360" w:lineRule="auto"/>
              <w:jc w:val="center"/>
              <w:rPr>
                <w:rFonts w:hint="default" w:eastAsia="仿宋_GB2312"/>
                <w:b/>
                <w:color w:val="auto"/>
                <w:sz w:val="24"/>
                <w:szCs w:val="24"/>
                <w:vertAlign w:val="baseline"/>
                <w:lang w:val="en-US" w:eastAsia="zh-CN"/>
              </w:rPr>
            </w:pPr>
            <w:r>
              <w:rPr>
                <w:rFonts w:hint="eastAsia" w:eastAsia="仿宋_GB2312"/>
                <w:b/>
                <w:color w:val="auto"/>
                <w:sz w:val="24"/>
                <w:szCs w:val="24"/>
                <w:vertAlign w:val="baseline"/>
                <w:lang w:val="en-US" w:eastAsia="zh-CN"/>
              </w:rPr>
              <w:t>场地硬化，厂内植被绿化区域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6" w:type="dxa"/>
          </w:tcPr>
          <w:p>
            <w:pPr>
              <w:widowControl w:val="0"/>
              <w:spacing w:after="0" w:afterLines="0" w:line="360" w:lineRule="auto"/>
              <w:jc w:val="center"/>
              <w:rPr>
                <w:rFonts w:hint="eastAsia" w:eastAsia="仿宋_GB2312"/>
                <w:b/>
                <w:color w:val="auto"/>
                <w:sz w:val="24"/>
                <w:szCs w:val="24"/>
                <w:vertAlign w:val="baseline"/>
                <w:lang w:val="en-US" w:eastAsia="zh-CN"/>
              </w:rPr>
            </w:pPr>
            <w:r>
              <w:rPr>
                <w:rFonts w:hint="eastAsia" w:eastAsia="仿宋_GB2312"/>
                <w:b/>
                <w:color w:val="auto"/>
                <w:sz w:val="24"/>
                <w:szCs w:val="24"/>
                <w:vertAlign w:val="baseline"/>
                <w:lang w:val="en-US" w:eastAsia="zh-CN"/>
              </w:rPr>
              <w:drawing>
                <wp:inline distT="0" distB="0" distL="114300" distR="114300">
                  <wp:extent cx="2591435" cy="2458720"/>
                  <wp:effectExtent l="0" t="0" r="18415" b="17780"/>
                  <wp:docPr id="10" name="图片 10" descr="01751e595c4224e308f0ddc3f9213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01751e595c4224e308f0ddc3f92133c"/>
                          <pic:cNvPicPr>
                            <a:picLocks noChangeAspect="1"/>
                          </pic:cNvPicPr>
                        </pic:nvPicPr>
                        <pic:blipFill>
                          <a:blip r:embed="rId10"/>
                          <a:stretch>
                            <a:fillRect/>
                          </a:stretch>
                        </pic:blipFill>
                        <pic:spPr>
                          <a:xfrm>
                            <a:off x="0" y="0"/>
                            <a:ext cx="2591435" cy="2458720"/>
                          </a:xfrm>
                          <a:prstGeom prst="rect">
                            <a:avLst/>
                          </a:prstGeom>
                        </pic:spPr>
                      </pic:pic>
                    </a:graphicData>
                  </a:graphic>
                </wp:inline>
              </w:drawing>
            </w:r>
          </w:p>
        </w:tc>
        <w:tc>
          <w:tcPr>
            <w:tcW w:w="4216" w:type="dxa"/>
          </w:tcPr>
          <w:p>
            <w:pPr>
              <w:widowControl w:val="0"/>
              <w:spacing w:after="0" w:afterLines="0" w:line="360" w:lineRule="auto"/>
              <w:jc w:val="center"/>
              <w:rPr>
                <w:rFonts w:hint="eastAsia" w:eastAsia="仿宋_GB2312"/>
                <w:b/>
                <w:color w:val="auto"/>
                <w:sz w:val="24"/>
                <w:szCs w:val="24"/>
                <w:vertAlign w:val="baseline"/>
                <w:lang w:val="en-US" w:eastAsia="zh-CN"/>
              </w:rPr>
            </w:pPr>
            <w:r>
              <w:rPr>
                <w:rFonts w:hint="eastAsia" w:eastAsia="仿宋_GB2312"/>
                <w:b/>
                <w:color w:val="auto"/>
                <w:sz w:val="24"/>
                <w:szCs w:val="24"/>
                <w:vertAlign w:val="baseline"/>
                <w:lang w:val="en-US" w:eastAsia="zh-CN"/>
              </w:rPr>
              <w:drawing>
                <wp:inline distT="0" distB="0" distL="114300" distR="114300">
                  <wp:extent cx="2548255" cy="2445385"/>
                  <wp:effectExtent l="0" t="0" r="4445" b="12065"/>
                  <wp:docPr id="12" name="图片 12" descr="f612b58bab6db0d155e4524c0e0e6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f612b58bab6db0d155e4524c0e0e6bd"/>
                          <pic:cNvPicPr>
                            <a:picLocks noChangeAspect="1"/>
                          </pic:cNvPicPr>
                        </pic:nvPicPr>
                        <pic:blipFill>
                          <a:blip r:embed="rId11"/>
                          <a:stretch>
                            <a:fillRect/>
                          </a:stretch>
                        </pic:blipFill>
                        <pic:spPr>
                          <a:xfrm>
                            <a:off x="0" y="0"/>
                            <a:ext cx="2548255" cy="244538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6" w:type="dxa"/>
          </w:tcPr>
          <w:p>
            <w:pPr>
              <w:widowControl w:val="0"/>
              <w:spacing w:after="0" w:afterLines="0" w:line="360" w:lineRule="auto"/>
              <w:jc w:val="center"/>
              <w:rPr>
                <w:rFonts w:hint="default" w:eastAsia="仿宋_GB2312"/>
                <w:b/>
                <w:color w:val="auto"/>
                <w:sz w:val="24"/>
                <w:szCs w:val="24"/>
                <w:vertAlign w:val="baseline"/>
                <w:lang w:val="en-US" w:eastAsia="zh-CN"/>
              </w:rPr>
            </w:pPr>
            <w:r>
              <w:rPr>
                <w:rFonts w:hint="eastAsia" w:eastAsia="仿宋_GB2312"/>
                <w:b/>
                <w:color w:val="auto"/>
                <w:sz w:val="24"/>
                <w:szCs w:val="24"/>
                <w:vertAlign w:val="baseline"/>
                <w:lang w:val="en-US" w:eastAsia="zh-CN"/>
              </w:rPr>
              <w:t>净化设备</w:t>
            </w:r>
          </w:p>
        </w:tc>
        <w:tc>
          <w:tcPr>
            <w:tcW w:w="4216" w:type="dxa"/>
          </w:tcPr>
          <w:p>
            <w:pPr>
              <w:widowControl w:val="0"/>
              <w:spacing w:after="0" w:afterLines="0" w:line="360" w:lineRule="auto"/>
              <w:jc w:val="center"/>
              <w:rPr>
                <w:rFonts w:hint="default" w:eastAsia="仿宋_GB2312"/>
                <w:b/>
                <w:color w:val="auto"/>
                <w:sz w:val="24"/>
                <w:szCs w:val="24"/>
                <w:vertAlign w:val="baseline"/>
                <w:lang w:val="en-US" w:eastAsia="zh-CN"/>
              </w:rPr>
            </w:pPr>
            <w:r>
              <w:rPr>
                <w:rFonts w:hint="eastAsia" w:eastAsia="仿宋_GB2312"/>
                <w:b/>
                <w:color w:val="auto"/>
                <w:sz w:val="24"/>
                <w:szCs w:val="24"/>
                <w:vertAlign w:val="baseline"/>
                <w:lang w:val="en-US" w:eastAsia="zh-CN"/>
              </w:rPr>
              <w:t>消毒设备</w:t>
            </w:r>
          </w:p>
        </w:tc>
      </w:tr>
    </w:tbl>
    <w:p>
      <w:pPr>
        <w:jc w:val="both"/>
        <w:rPr>
          <w:rFonts w:eastAsia="仿宋_GB2312"/>
          <w:b/>
          <w:color w:val="000000"/>
          <w:sz w:val="24"/>
          <w:szCs w:val="24"/>
        </w:rPr>
        <w:sectPr>
          <w:pgSz w:w="11906" w:h="16838"/>
          <w:pgMar w:top="1440" w:right="1800" w:bottom="1440" w:left="1800" w:header="708" w:footer="708" w:gutter="0"/>
          <w:pgBorders>
            <w:top w:val="none" w:sz="0" w:space="0"/>
            <w:left w:val="none" w:sz="0" w:space="0"/>
            <w:bottom w:val="none" w:sz="0" w:space="0"/>
            <w:right w:val="none" w:sz="0" w:space="0"/>
          </w:pgBorders>
          <w:pgNumType w:fmt="decimal"/>
          <w:cols w:space="720" w:num="1"/>
          <w:docGrid w:linePitch="360" w:charSpace="0"/>
        </w:sectPr>
      </w:pPr>
    </w:p>
    <w:p>
      <w:pPr>
        <w:jc w:val="both"/>
        <w:rPr>
          <w:rFonts w:hint="eastAsia" w:eastAsia="仿宋_GB2312"/>
          <w:b/>
          <w:color w:val="000000"/>
          <w:sz w:val="24"/>
          <w:szCs w:val="24"/>
        </w:rPr>
      </w:pPr>
      <w:r>
        <w:rPr>
          <w:rFonts w:eastAsia="仿宋_GB2312"/>
          <w:b/>
          <w:color w:val="000000"/>
          <w:sz w:val="24"/>
          <w:szCs w:val="24"/>
        </w:rPr>
        <w:t>表</w:t>
      </w:r>
      <w:r>
        <w:rPr>
          <w:rFonts w:hint="eastAsia" w:eastAsia="仿宋_GB2312"/>
          <w:b/>
          <w:color w:val="000000"/>
          <w:sz w:val="24"/>
          <w:szCs w:val="24"/>
        </w:rPr>
        <w:t>四</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5" w:hRule="atLeast"/>
          <w:jc w:val="center"/>
        </w:trPr>
        <w:tc>
          <w:tcPr>
            <w:tcW w:w="8924" w:type="dxa"/>
            <w:noWrap w:val="0"/>
            <w:vAlign w:val="top"/>
          </w:tcPr>
          <w:p>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楷体" w:cs="Times New Roman"/>
                <w:b/>
                <w:bCs/>
                <w:color w:val="000000"/>
                <w:sz w:val="28"/>
                <w:szCs w:val="28"/>
                <w:lang w:eastAsia="zh-CN"/>
              </w:rPr>
            </w:pPr>
            <w:r>
              <w:rPr>
                <w:rFonts w:hint="default" w:ascii="Times New Roman" w:hAnsi="Times New Roman" w:eastAsia="楷体" w:cs="Times New Roman"/>
                <w:b/>
                <w:bCs/>
                <w:color w:val="000000"/>
                <w:sz w:val="28"/>
                <w:szCs w:val="28"/>
                <w:lang w:eastAsia="zh-CN"/>
              </w:rPr>
              <w:t>4.1 环评报告表主要结论（摘录）</w:t>
            </w:r>
          </w:p>
          <w:p>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楷体" w:cs="Times New Roman"/>
                <w:b/>
                <w:bCs/>
                <w:color w:val="000000"/>
                <w:sz w:val="28"/>
                <w:szCs w:val="28"/>
                <w:lang w:eastAsia="zh-CN"/>
              </w:rPr>
            </w:pPr>
            <w:r>
              <w:rPr>
                <w:rFonts w:hint="default" w:ascii="Times New Roman" w:hAnsi="Times New Roman" w:eastAsia="楷体" w:cs="Times New Roman"/>
                <w:b/>
                <w:bCs/>
                <w:color w:val="000000"/>
                <w:sz w:val="28"/>
                <w:szCs w:val="28"/>
                <w:lang w:eastAsia="zh-CN"/>
              </w:rPr>
              <w:t>4.1.1 项目概况</w:t>
            </w:r>
          </w:p>
          <w:p>
            <w:pPr>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项目</w:t>
            </w:r>
            <w:r>
              <w:rPr>
                <w:rFonts w:hint="default" w:ascii="Times New Roman" w:hAnsi="Times New Roman" w:eastAsia="宋体" w:cs="Times New Roman"/>
                <w:color w:val="000000"/>
                <w:sz w:val="24"/>
                <w:szCs w:val="24"/>
                <w:lang w:val="en-US" w:eastAsia="zh-CN"/>
              </w:rPr>
              <w:t>水厂</w:t>
            </w:r>
            <w:r>
              <w:rPr>
                <w:rFonts w:hint="default" w:ascii="Times New Roman" w:hAnsi="Times New Roman" w:eastAsia="宋体" w:cs="Times New Roman"/>
                <w:color w:val="000000"/>
                <w:sz w:val="24"/>
                <w:szCs w:val="24"/>
              </w:rPr>
              <w:t>位于尖扎县措周乡那卡村，工程主要建设内容：新建200t预沉池1座，集成一体化水厂1座，建设用地总面积549.4m</w:t>
            </w:r>
            <w:r>
              <w:rPr>
                <w:rFonts w:hint="default" w:ascii="Times New Roman" w:hAnsi="Times New Roman" w:eastAsia="宋体" w:cs="Times New Roman"/>
                <w:color w:val="000000"/>
                <w:sz w:val="24"/>
                <w:szCs w:val="24"/>
                <w:vertAlign w:val="superscript"/>
              </w:rPr>
              <w:t>2</w:t>
            </w:r>
            <w:r>
              <w:rPr>
                <w:rFonts w:hint="default" w:ascii="Times New Roman" w:hAnsi="Times New Roman" w:eastAsia="宋体" w:cs="Times New Roman"/>
                <w:color w:val="000000"/>
                <w:sz w:val="24"/>
                <w:szCs w:val="24"/>
              </w:rPr>
              <w:t>（其中，建筑物用地面积221.8m</w:t>
            </w:r>
            <w:r>
              <w:rPr>
                <w:rFonts w:hint="default" w:ascii="Times New Roman" w:hAnsi="Times New Roman" w:eastAsia="宋体" w:cs="Times New Roman"/>
                <w:color w:val="000000"/>
                <w:sz w:val="24"/>
                <w:szCs w:val="24"/>
                <w:vertAlign w:val="superscript"/>
              </w:rPr>
              <w:t>2</w:t>
            </w:r>
            <w:r>
              <w:rPr>
                <w:rFonts w:hint="default" w:ascii="Times New Roman" w:hAnsi="Times New Roman" w:eastAsia="宋体" w:cs="Times New Roman"/>
                <w:color w:val="000000"/>
                <w:sz w:val="24"/>
                <w:szCs w:val="24"/>
              </w:rPr>
              <w:t>，绿化用地面积119.0m</w:t>
            </w:r>
            <w:r>
              <w:rPr>
                <w:rFonts w:hint="default" w:ascii="Times New Roman" w:hAnsi="Times New Roman" w:eastAsia="宋体" w:cs="Times New Roman"/>
                <w:color w:val="000000"/>
                <w:sz w:val="24"/>
                <w:szCs w:val="24"/>
                <w:vertAlign w:val="superscript"/>
              </w:rPr>
              <w:t>2</w:t>
            </w:r>
            <w:r>
              <w:rPr>
                <w:rFonts w:hint="default" w:ascii="Times New Roman" w:hAnsi="Times New Roman" w:eastAsia="宋体" w:cs="Times New Roman"/>
                <w:color w:val="000000"/>
                <w:sz w:val="24"/>
                <w:szCs w:val="24"/>
              </w:rPr>
              <w:t>，厂内地坪208.6m</w:t>
            </w:r>
            <w:r>
              <w:rPr>
                <w:rFonts w:hint="default" w:ascii="Times New Roman" w:hAnsi="Times New Roman" w:eastAsia="宋体" w:cs="Times New Roman"/>
                <w:color w:val="000000"/>
                <w:sz w:val="24"/>
                <w:szCs w:val="24"/>
                <w:vertAlign w:val="superscript"/>
              </w:rPr>
              <w:t>2</w:t>
            </w:r>
            <w:r>
              <w:rPr>
                <w:rFonts w:hint="default" w:ascii="Times New Roman" w:hAnsi="Times New Roman" w:eastAsia="宋体" w:cs="Times New Roman"/>
                <w:color w:val="000000"/>
                <w:sz w:val="24"/>
                <w:szCs w:val="24"/>
              </w:rPr>
              <w:t>），院落围墙95m，场外道路10m。新建150t清水池1座，闸室1座，分水井2座，铺设Φ225PE100引水管道199m、Φ225PE100溢流管125m，Φ400钢带增强聚乙烯螺旋波纹排水管道507m。工程总投资</w:t>
            </w:r>
            <w:r>
              <w:rPr>
                <w:rFonts w:hint="eastAsia" w:ascii="Times New Roman" w:hAnsi="Times New Roman" w:eastAsia="宋体" w:cs="Times New Roman"/>
                <w:color w:val="000000"/>
                <w:sz w:val="24"/>
                <w:szCs w:val="24"/>
                <w:lang w:val="en-US" w:eastAsia="zh-CN"/>
              </w:rPr>
              <w:t>478.44</w:t>
            </w:r>
            <w:r>
              <w:rPr>
                <w:rFonts w:hint="default" w:ascii="Times New Roman" w:hAnsi="Times New Roman" w:eastAsia="宋体" w:cs="Times New Roman"/>
                <w:color w:val="000000"/>
                <w:sz w:val="24"/>
                <w:szCs w:val="24"/>
              </w:rPr>
              <w:t>万元，环保投资</w:t>
            </w:r>
            <w:r>
              <w:rPr>
                <w:rFonts w:hint="eastAsia" w:ascii="Times New Roman" w:hAnsi="Times New Roman" w:eastAsia="宋体" w:cs="Times New Roman"/>
                <w:color w:val="000000"/>
                <w:sz w:val="24"/>
                <w:szCs w:val="24"/>
                <w:lang w:val="en-US" w:eastAsia="zh-CN"/>
              </w:rPr>
              <w:t>10</w:t>
            </w:r>
            <w:r>
              <w:rPr>
                <w:rFonts w:hint="default" w:ascii="Times New Roman" w:hAnsi="Times New Roman" w:eastAsia="宋体" w:cs="Times New Roman"/>
                <w:color w:val="000000"/>
                <w:sz w:val="24"/>
                <w:szCs w:val="24"/>
              </w:rPr>
              <w:t>万元。</w:t>
            </w:r>
          </w:p>
          <w:p>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楷体" w:cs="Times New Roman"/>
                <w:b/>
                <w:bCs/>
                <w:color w:val="000000"/>
                <w:sz w:val="28"/>
                <w:szCs w:val="28"/>
                <w:lang w:eastAsia="zh-CN"/>
              </w:rPr>
            </w:pPr>
            <w:r>
              <w:rPr>
                <w:rFonts w:hint="default" w:ascii="Times New Roman" w:hAnsi="Times New Roman" w:eastAsia="楷体" w:cs="Times New Roman"/>
                <w:b/>
                <w:bCs/>
                <w:color w:val="000000"/>
                <w:sz w:val="28"/>
                <w:szCs w:val="28"/>
                <w:lang w:eastAsia="zh-CN"/>
              </w:rPr>
              <w:t>4.1.2 自然环境概况及环境敏感目标调查</w:t>
            </w:r>
          </w:p>
          <w:p>
            <w:pPr>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拟建项目净水厂位于尖扎县措周乡那卡村，厂址500m范围内无国家、省、市级自然保护区及重点文物保护对象，不涉及自然保护区、风景名胜区、饮用水源保护区等需特殊保护的敏感区域，厂界外500m范围内的地下水集中式饮用水水源和热水、矿泉水、温泉等特殊地下水资源。</w:t>
            </w:r>
          </w:p>
          <w:p>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楷体" w:cs="Times New Roman"/>
                <w:b/>
                <w:bCs/>
                <w:color w:val="000000"/>
                <w:sz w:val="28"/>
                <w:szCs w:val="28"/>
                <w:lang w:eastAsia="zh-CN"/>
              </w:rPr>
            </w:pPr>
            <w:r>
              <w:rPr>
                <w:rFonts w:hint="default" w:ascii="Times New Roman" w:hAnsi="Times New Roman" w:eastAsia="楷体" w:cs="Times New Roman"/>
                <w:b/>
                <w:bCs/>
                <w:color w:val="000000"/>
                <w:sz w:val="28"/>
                <w:szCs w:val="28"/>
                <w:lang w:eastAsia="zh-CN"/>
              </w:rPr>
              <w:t>4.1.3 环境影响及环境保护措施</w:t>
            </w:r>
          </w:p>
          <w:p>
            <w:pPr>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（1）施工期环境影响及环境保护措施</w:t>
            </w:r>
          </w:p>
          <w:p>
            <w:pPr>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本工程在施工期间采取行之有效的水保措施减少水土流失率，施工过程中严格划定施工红线，避免破坏占地红线外的生态环境，施工结束后对临时占地进行生态恢复；通过施工场地洒水和采取低噪声生产工艺以减轻施工扬尘、噪声对环境的不利影响；所有施工废水不外排；施工人员生活污水由旱厕统一收集作农肥使用；地表清理和土石方工程产生的表土和土石方，均及时回填，并采取合理的防止水土流失措施。</w:t>
            </w:r>
          </w:p>
          <w:p>
            <w:pPr>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采取上述环保措施后，工程施工期间对区域生态环境、环境空气、地表水和声环境质量的影响可有效降低。</w:t>
            </w:r>
          </w:p>
          <w:p>
            <w:pPr>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（2）运营期</w:t>
            </w:r>
          </w:p>
          <w:p>
            <w:pPr>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净水厂投运后，</w:t>
            </w:r>
            <w:r>
              <w:rPr>
                <w:rFonts w:hint="default" w:ascii="Times New Roman" w:hAnsi="Times New Roman" w:eastAsia="宋体" w:cs="Times New Roman"/>
                <w:color w:val="000000"/>
                <w:sz w:val="24"/>
                <w:szCs w:val="24"/>
                <w:lang w:val="en-US" w:eastAsia="zh-CN"/>
              </w:rPr>
              <w:t>对集成式一体化净水设备过滤区截留悬浮物进行反冲洗</w:t>
            </w:r>
            <w:r>
              <w:rPr>
                <w:rFonts w:hint="default" w:ascii="Times New Roman" w:hAnsi="Times New Roman" w:eastAsia="宋体" w:cs="Times New Roman"/>
                <w:color w:val="000000"/>
                <w:sz w:val="24"/>
                <w:szCs w:val="24"/>
              </w:rPr>
              <w:t>产生的</w:t>
            </w:r>
            <w:r>
              <w:rPr>
                <w:rFonts w:hint="eastAsia" w:ascii="Times New Roman" w:hAnsi="Times New Roman" w:eastAsia="宋体" w:cs="Times New Roman"/>
                <w:color w:val="000000"/>
                <w:sz w:val="24"/>
                <w:szCs w:val="24"/>
                <w:lang w:val="en-US" w:eastAsia="zh-CN"/>
              </w:rPr>
              <w:t>冲洗</w:t>
            </w:r>
            <w:r>
              <w:rPr>
                <w:rFonts w:hint="default" w:ascii="Times New Roman" w:hAnsi="Times New Roman" w:eastAsia="宋体" w:cs="Times New Roman"/>
                <w:color w:val="000000"/>
                <w:sz w:val="24"/>
                <w:szCs w:val="24"/>
              </w:rPr>
              <w:t>废水</w:t>
            </w:r>
            <w:r>
              <w:rPr>
                <w:rFonts w:hint="eastAsia" w:ascii="Times New Roman" w:hAnsi="Times New Roman" w:eastAsia="宋体" w:cs="Times New Roman"/>
                <w:color w:val="000000"/>
                <w:sz w:val="24"/>
                <w:szCs w:val="24"/>
                <w:lang w:val="en-US" w:eastAsia="zh-CN"/>
              </w:rPr>
              <w:t>用于绿化用水</w:t>
            </w:r>
            <w:r>
              <w:rPr>
                <w:rFonts w:hint="default" w:ascii="Times New Roman" w:hAnsi="Times New Roman" w:eastAsia="宋体" w:cs="Times New Roman"/>
                <w:color w:val="000000"/>
                <w:sz w:val="24"/>
                <w:szCs w:val="24"/>
              </w:rPr>
              <w:t>；水泵等噪声源均采取合理的减震、隔声措施；污泥等固体污染物均妥善处置不随意乱弃。采取上述措施后，营运期水厂生产对环境的影响较小。</w:t>
            </w:r>
          </w:p>
          <w:p>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楷体" w:cs="Times New Roman"/>
                <w:b/>
                <w:bCs/>
                <w:color w:val="000000"/>
                <w:sz w:val="28"/>
                <w:szCs w:val="28"/>
                <w:lang w:eastAsia="zh-CN"/>
              </w:rPr>
            </w:pPr>
            <w:r>
              <w:rPr>
                <w:rFonts w:hint="default" w:ascii="Times New Roman" w:hAnsi="Times New Roman" w:eastAsia="楷体" w:cs="Times New Roman"/>
                <w:b/>
                <w:bCs/>
                <w:color w:val="000000"/>
                <w:sz w:val="28"/>
                <w:szCs w:val="28"/>
                <w:lang w:eastAsia="zh-CN"/>
              </w:rPr>
              <w:t>4.1.4 总体结论</w:t>
            </w:r>
          </w:p>
          <w:p>
            <w:pPr>
              <w:keepNext w:val="0"/>
              <w:keepLines w:val="0"/>
              <w:pageBreakBefore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val="en-US" w:eastAsia="zh-CN"/>
              </w:rPr>
              <w:t>黄南州尖扎县措周乡净化水厂建设项目</w:t>
            </w:r>
            <w:r>
              <w:rPr>
                <w:rFonts w:hint="default" w:ascii="Times New Roman" w:hAnsi="Times New Roman" w:eastAsia="宋体" w:cs="Times New Roman"/>
                <w:color w:val="000000"/>
                <w:sz w:val="24"/>
                <w:szCs w:val="24"/>
              </w:rPr>
              <w:t>建设符合国家产业政策、地方政策要求。项目采用的污染防治措施和生态保护措施技术可行。项目在严格按照评价提出的生态保护措施、污染防治措施和环境风险防范措施后，对环境的影响较小。因此，从环境保护角度分析，拟建项目建设可行。</w:t>
            </w:r>
          </w:p>
          <w:p>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楷体" w:cs="Times New Roman"/>
                <w:b/>
                <w:bCs/>
                <w:color w:val="000000"/>
                <w:sz w:val="28"/>
                <w:szCs w:val="28"/>
                <w:lang w:eastAsia="zh-CN"/>
              </w:rPr>
            </w:pPr>
            <w:r>
              <w:rPr>
                <w:rFonts w:hint="default" w:ascii="Times New Roman" w:hAnsi="Times New Roman" w:eastAsia="楷体" w:cs="Times New Roman"/>
                <w:b/>
                <w:bCs/>
                <w:color w:val="000000"/>
                <w:sz w:val="28"/>
                <w:szCs w:val="28"/>
                <w:lang w:eastAsia="zh-CN"/>
              </w:rPr>
              <w:t>4.2 审批部门审批决定</w:t>
            </w:r>
          </w:p>
          <w:p>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Times New Roman" w:hAnsi="Times New Roman" w:eastAsia="宋体" w:cs="Times New Roman"/>
                <w:color w:val="000000"/>
                <w:sz w:val="24"/>
                <w:szCs w:val="24"/>
                <w:lang w:eastAsia="zh-CN"/>
              </w:rPr>
            </w:pPr>
            <w:r>
              <w:rPr>
                <w:rFonts w:hint="eastAsia" w:ascii="Times New Roman" w:hAnsi="Times New Roman" w:eastAsia="宋体" w:cs="Times New Roman"/>
                <w:color w:val="000000"/>
                <w:sz w:val="24"/>
                <w:szCs w:val="24"/>
                <w:lang w:eastAsia="zh-CN"/>
              </w:rPr>
              <w:t>尖扎县水利局：</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color w:val="000000"/>
                <w:sz w:val="24"/>
                <w:szCs w:val="24"/>
                <w:lang w:eastAsia="zh-CN"/>
              </w:rPr>
            </w:pPr>
            <w:r>
              <w:rPr>
                <w:rFonts w:hint="eastAsia" w:ascii="Times New Roman" w:hAnsi="Times New Roman" w:eastAsia="宋体" w:cs="Times New Roman"/>
                <w:color w:val="000000"/>
                <w:sz w:val="24"/>
                <w:szCs w:val="24"/>
                <w:lang w:eastAsia="zh-CN"/>
              </w:rPr>
              <w:t>你单位《</w:t>
            </w:r>
            <w:r>
              <w:rPr>
                <w:rFonts w:hint="default" w:ascii="宋体" w:hAnsi="宋体" w:eastAsia="宋体" w:cs="宋体"/>
                <w:sz w:val="24"/>
                <w:lang w:val="en-US" w:eastAsia="zh-CN"/>
              </w:rPr>
              <w:t>黄南州尖扎县</w:t>
            </w:r>
            <w:r>
              <w:rPr>
                <w:rFonts w:hint="eastAsia" w:ascii="宋体" w:hAnsi="宋体" w:eastAsia="宋体" w:cs="宋体"/>
                <w:sz w:val="24"/>
                <w:lang w:val="en-US" w:eastAsia="zh-CN"/>
              </w:rPr>
              <w:t>措</w:t>
            </w:r>
            <w:r>
              <w:rPr>
                <w:rFonts w:hint="default" w:ascii="宋体" w:hAnsi="宋体" w:eastAsia="宋体" w:cs="宋体"/>
                <w:sz w:val="24"/>
                <w:lang w:val="en-US" w:eastAsia="zh-CN"/>
              </w:rPr>
              <w:t>周乡净化水厂建设项目</w:t>
            </w:r>
            <w:r>
              <w:rPr>
                <w:rFonts w:hint="eastAsia" w:ascii="宋体" w:hAnsi="宋体" w:eastAsia="宋体" w:cs="宋体"/>
                <w:sz w:val="24"/>
                <w:lang w:val="en-US" w:eastAsia="zh-CN"/>
              </w:rPr>
              <w:t>环境影响评价报告表</w:t>
            </w:r>
            <w:r>
              <w:rPr>
                <w:rFonts w:hint="eastAsia" w:ascii="Times New Roman" w:hAnsi="Times New Roman" w:eastAsia="宋体" w:cs="Times New Roman"/>
                <w:color w:val="000000"/>
                <w:sz w:val="24"/>
                <w:szCs w:val="24"/>
                <w:lang w:eastAsia="zh-CN"/>
              </w:rPr>
              <w:t>的请示》收悉，2021年11月</w:t>
            </w:r>
            <w:r>
              <w:rPr>
                <w:rFonts w:hint="eastAsia" w:ascii="Times New Roman" w:hAnsi="Times New Roman" w:eastAsia="宋体" w:cs="Times New Roman"/>
                <w:color w:val="000000"/>
                <w:sz w:val="24"/>
                <w:szCs w:val="24"/>
                <w:lang w:val="en-US" w:eastAsia="zh-CN"/>
              </w:rPr>
              <w:t>18</w:t>
            </w:r>
            <w:r>
              <w:rPr>
                <w:rFonts w:hint="eastAsia" w:ascii="Times New Roman" w:hAnsi="Times New Roman" w:eastAsia="宋体" w:cs="Times New Roman"/>
                <w:color w:val="000000"/>
                <w:sz w:val="24"/>
                <w:szCs w:val="24"/>
                <w:lang w:eastAsia="zh-CN"/>
              </w:rPr>
              <w:t>日，我局根据青海省生态环境厅办公司印发的《关于做好全省重大项目开复工环评审批服务的通知》(青生办[2020]18号)文件精神，对该报告表进行了专家函审，经研究，批复如下：</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color w:val="000000"/>
                <w:sz w:val="24"/>
                <w:szCs w:val="24"/>
                <w:lang w:eastAsia="zh-CN"/>
              </w:rPr>
            </w:pPr>
            <w:r>
              <w:rPr>
                <w:rFonts w:hint="eastAsia" w:ascii="Times New Roman" w:hAnsi="Times New Roman" w:eastAsia="宋体" w:cs="Times New Roman"/>
                <w:color w:val="000000"/>
                <w:sz w:val="24"/>
                <w:szCs w:val="24"/>
                <w:lang w:eastAsia="zh-CN"/>
              </w:rPr>
              <w:t>一、项目建设内容和总体要求</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color w:val="000000"/>
                <w:sz w:val="24"/>
                <w:szCs w:val="24"/>
                <w:lang w:eastAsia="zh-CN"/>
              </w:rPr>
            </w:pPr>
            <w:r>
              <w:rPr>
                <w:rFonts w:hint="eastAsia" w:ascii="Times New Roman" w:hAnsi="Times New Roman" w:eastAsia="宋体" w:cs="Times New Roman"/>
                <w:color w:val="000000"/>
                <w:sz w:val="24"/>
                <w:szCs w:val="24"/>
                <w:lang w:val="en-US" w:eastAsia="zh-CN"/>
              </w:rPr>
              <w:t>黄南州尖扎县措周乡净化水厂建设项目</w:t>
            </w:r>
            <w:r>
              <w:rPr>
                <w:rFonts w:hint="eastAsia" w:ascii="Times New Roman" w:hAnsi="Times New Roman" w:eastAsia="宋体" w:cs="Times New Roman"/>
                <w:color w:val="000000"/>
                <w:sz w:val="24"/>
                <w:szCs w:val="24"/>
                <w:lang w:eastAsia="zh-CN"/>
              </w:rPr>
              <w:t>位于尖扎县</w:t>
            </w:r>
            <w:r>
              <w:rPr>
                <w:rFonts w:hint="eastAsia" w:ascii="Times New Roman" w:hAnsi="Times New Roman" w:eastAsia="宋体" w:cs="Times New Roman"/>
                <w:color w:val="000000"/>
                <w:sz w:val="24"/>
                <w:szCs w:val="24"/>
                <w:lang w:val="en-US" w:eastAsia="zh-CN"/>
              </w:rPr>
              <w:t>措周</w:t>
            </w:r>
            <w:r>
              <w:rPr>
                <w:rFonts w:hint="eastAsia" w:ascii="Times New Roman" w:hAnsi="Times New Roman" w:eastAsia="宋体" w:cs="Times New Roman"/>
                <w:color w:val="000000"/>
                <w:sz w:val="24"/>
                <w:szCs w:val="24"/>
                <w:lang w:eastAsia="zh-CN"/>
              </w:rPr>
              <w:t>乡，项目性质属新建，总投资</w:t>
            </w:r>
            <w:r>
              <w:rPr>
                <w:rFonts w:hint="eastAsia" w:ascii="Times New Roman" w:hAnsi="Times New Roman" w:eastAsia="宋体" w:cs="Times New Roman"/>
                <w:color w:val="000000"/>
                <w:sz w:val="24"/>
                <w:szCs w:val="24"/>
                <w:lang w:val="en-US" w:eastAsia="zh-CN"/>
              </w:rPr>
              <w:t>478.44</w:t>
            </w:r>
            <w:r>
              <w:rPr>
                <w:rFonts w:hint="eastAsia" w:ascii="Times New Roman" w:hAnsi="Times New Roman" w:eastAsia="宋体" w:cs="Times New Roman"/>
                <w:color w:val="000000"/>
                <w:sz w:val="24"/>
                <w:szCs w:val="24"/>
                <w:lang w:eastAsia="zh-CN"/>
              </w:rPr>
              <w:t>万元，项目代码：2011-632322-04-01-1</w:t>
            </w:r>
            <w:r>
              <w:rPr>
                <w:rFonts w:hint="eastAsia" w:ascii="Times New Roman" w:hAnsi="Times New Roman" w:eastAsia="宋体" w:cs="Times New Roman"/>
                <w:color w:val="000000"/>
                <w:sz w:val="24"/>
                <w:szCs w:val="24"/>
                <w:lang w:val="en-US" w:eastAsia="zh-CN"/>
              </w:rPr>
              <w:t>88093</w:t>
            </w:r>
            <w:r>
              <w:rPr>
                <w:rFonts w:hint="eastAsia" w:ascii="Times New Roman" w:hAnsi="Times New Roman" w:eastAsia="宋体" w:cs="Times New Roman"/>
                <w:color w:val="000000"/>
                <w:sz w:val="24"/>
                <w:szCs w:val="24"/>
                <w:lang w:eastAsia="zh-CN"/>
              </w:rPr>
              <w:t>，建设内容：新建</w:t>
            </w:r>
            <w:r>
              <w:rPr>
                <w:rFonts w:hint="eastAsia" w:ascii="Times New Roman" w:hAnsi="Times New Roman" w:eastAsia="宋体" w:cs="Times New Roman"/>
                <w:color w:val="000000"/>
                <w:sz w:val="24"/>
                <w:szCs w:val="24"/>
                <w:lang w:val="en-US" w:eastAsia="zh-CN"/>
              </w:rPr>
              <w:t>20</w:t>
            </w:r>
            <w:r>
              <w:rPr>
                <w:rFonts w:hint="eastAsia" w:ascii="Times New Roman" w:hAnsi="Times New Roman" w:eastAsia="宋体" w:cs="Times New Roman"/>
                <w:color w:val="000000"/>
                <w:sz w:val="24"/>
                <w:szCs w:val="24"/>
                <w:lang w:eastAsia="zh-CN"/>
              </w:rPr>
              <w:t>0t预沉池1座，集成一体化水厂1座，建设用地总面积</w:t>
            </w:r>
            <w:r>
              <w:rPr>
                <w:rFonts w:hint="eastAsia" w:ascii="Times New Roman" w:hAnsi="Times New Roman" w:eastAsia="宋体" w:cs="Times New Roman"/>
                <w:color w:val="000000"/>
                <w:sz w:val="24"/>
                <w:szCs w:val="24"/>
                <w:lang w:val="en-US" w:eastAsia="zh-CN"/>
              </w:rPr>
              <w:t>549.4</w:t>
            </w:r>
            <w:r>
              <w:rPr>
                <w:rFonts w:hint="eastAsia" w:ascii="Times New Roman" w:hAnsi="Times New Roman" w:eastAsia="宋体" w:cs="Times New Roman"/>
                <w:color w:val="000000"/>
                <w:sz w:val="24"/>
                <w:szCs w:val="24"/>
                <w:lang w:eastAsia="zh-CN"/>
              </w:rPr>
              <w:t>平方米(其中，建筑物用地面积221.8平方米，绿化用地面积</w:t>
            </w:r>
            <w:r>
              <w:rPr>
                <w:rFonts w:hint="eastAsia" w:ascii="Times New Roman" w:hAnsi="Times New Roman" w:eastAsia="宋体" w:cs="Times New Roman"/>
                <w:color w:val="000000"/>
                <w:sz w:val="24"/>
                <w:szCs w:val="24"/>
                <w:lang w:val="en-US" w:eastAsia="zh-CN"/>
              </w:rPr>
              <w:t>119.0</w:t>
            </w:r>
            <w:r>
              <w:rPr>
                <w:rFonts w:hint="eastAsia" w:ascii="Times New Roman" w:hAnsi="Times New Roman" w:eastAsia="宋体" w:cs="Times New Roman"/>
                <w:color w:val="000000"/>
                <w:sz w:val="24"/>
                <w:szCs w:val="24"/>
                <w:lang w:eastAsia="zh-CN"/>
              </w:rPr>
              <w:t>平方米，厂内地坪</w:t>
            </w:r>
            <w:r>
              <w:rPr>
                <w:rFonts w:hint="eastAsia" w:ascii="Times New Roman" w:hAnsi="Times New Roman" w:eastAsia="宋体" w:cs="Times New Roman"/>
                <w:color w:val="000000"/>
                <w:sz w:val="24"/>
                <w:szCs w:val="24"/>
                <w:lang w:val="en-US" w:eastAsia="zh-CN"/>
              </w:rPr>
              <w:t>208.6</w:t>
            </w:r>
            <w:r>
              <w:rPr>
                <w:rFonts w:hint="eastAsia" w:ascii="Times New Roman" w:hAnsi="Times New Roman" w:eastAsia="宋体" w:cs="Times New Roman"/>
                <w:color w:val="000000"/>
                <w:sz w:val="24"/>
                <w:szCs w:val="24"/>
                <w:lang w:eastAsia="zh-CN"/>
              </w:rPr>
              <w:t>平方米)，院落围墙</w:t>
            </w:r>
            <w:r>
              <w:rPr>
                <w:rFonts w:hint="eastAsia" w:ascii="Times New Roman" w:hAnsi="Times New Roman" w:eastAsia="宋体" w:cs="Times New Roman"/>
                <w:color w:val="000000"/>
                <w:sz w:val="24"/>
                <w:szCs w:val="24"/>
                <w:lang w:val="en-US" w:eastAsia="zh-CN"/>
              </w:rPr>
              <w:t>95</w:t>
            </w:r>
            <w:r>
              <w:rPr>
                <w:rFonts w:hint="eastAsia" w:ascii="Times New Roman" w:hAnsi="Times New Roman" w:eastAsia="宋体" w:cs="Times New Roman"/>
                <w:color w:val="000000"/>
                <w:sz w:val="24"/>
                <w:szCs w:val="24"/>
                <w:lang w:eastAsia="zh-CN"/>
              </w:rPr>
              <w:t>米，场外道路</w:t>
            </w:r>
            <w:r>
              <w:rPr>
                <w:rFonts w:hint="eastAsia" w:ascii="Times New Roman" w:hAnsi="Times New Roman" w:eastAsia="宋体" w:cs="Times New Roman"/>
                <w:color w:val="000000"/>
                <w:sz w:val="24"/>
                <w:szCs w:val="24"/>
                <w:lang w:val="en-US" w:eastAsia="zh-CN"/>
              </w:rPr>
              <w:t>10</w:t>
            </w:r>
            <w:r>
              <w:rPr>
                <w:rFonts w:hint="eastAsia" w:ascii="Times New Roman" w:hAnsi="Times New Roman" w:eastAsia="宋体" w:cs="Times New Roman"/>
                <w:color w:val="000000"/>
                <w:sz w:val="24"/>
                <w:szCs w:val="24"/>
                <w:lang w:eastAsia="zh-CN"/>
              </w:rPr>
              <w:t>米。新建</w:t>
            </w:r>
            <w:r>
              <w:rPr>
                <w:rFonts w:hint="eastAsia" w:ascii="Times New Roman" w:hAnsi="Times New Roman" w:eastAsia="宋体" w:cs="Times New Roman"/>
                <w:color w:val="000000"/>
                <w:sz w:val="24"/>
                <w:szCs w:val="24"/>
                <w:lang w:val="en-US" w:eastAsia="zh-CN"/>
              </w:rPr>
              <w:t>150吨清水池1座，</w:t>
            </w:r>
            <w:r>
              <w:rPr>
                <w:rFonts w:hint="eastAsia" w:ascii="Times New Roman" w:hAnsi="Times New Roman" w:eastAsia="宋体" w:cs="Times New Roman"/>
                <w:color w:val="000000"/>
                <w:sz w:val="24"/>
                <w:szCs w:val="24"/>
                <w:lang w:eastAsia="zh-CN"/>
              </w:rPr>
              <w:t>闸室1座，</w:t>
            </w:r>
            <w:r>
              <w:rPr>
                <w:rFonts w:hint="eastAsia" w:ascii="Times New Roman" w:hAnsi="Times New Roman" w:eastAsia="宋体" w:cs="Times New Roman"/>
                <w:color w:val="000000"/>
                <w:sz w:val="24"/>
                <w:szCs w:val="24"/>
                <w:lang w:val="en-US" w:eastAsia="zh-CN"/>
              </w:rPr>
              <w:t>分水井2座，</w:t>
            </w:r>
            <w:r>
              <w:rPr>
                <w:rFonts w:hint="eastAsia" w:ascii="Times New Roman" w:hAnsi="Times New Roman" w:eastAsia="宋体" w:cs="Times New Roman"/>
                <w:color w:val="000000"/>
                <w:sz w:val="24"/>
                <w:szCs w:val="24"/>
                <w:lang w:eastAsia="zh-CN"/>
              </w:rPr>
              <w:t>铺设</w:t>
            </w:r>
            <w:r>
              <w:rPr>
                <w:rFonts w:hint="default" w:ascii="Times New Roman" w:hAnsi="Times New Roman" w:eastAsia="宋体" w:cs="Times New Roman"/>
                <w:color w:val="000000"/>
                <w:sz w:val="24"/>
                <w:szCs w:val="24"/>
                <w:lang w:eastAsia="zh-CN"/>
              </w:rPr>
              <w:t>Φ</w:t>
            </w:r>
            <w:r>
              <w:rPr>
                <w:rFonts w:hint="eastAsia" w:ascii="宋体" w:hAnsi="宋体" w:eastAsia="宋体" w:cs="宋体"/>
                <w:color w:val="000000"/>
                <w:sz w:val="24"/>
                <w:szCs w:val="24"/>
                <w:lang w:val="en-US" w:eastAsia="zh-CN"/>
              </w:rPr>
              <w:t>225</w:t>
            </w:r>
            <w:r>
              <w:rPr>
                <w:rFonts w:hint="eastAsia" w:ascii="Times New Roman" w:hAnsi="Times New Roman" w:eastAsia="宋体" w:cs="Times New Roman"/>
                <w:color w:val="000000"/>
                <w:sz w:val="24"/>
                <w:szCs w:val="24"/>
                <w:lang w:eastAsia="zh-CN"/>
              </w:rPr>
              <w:t>PE100</w:t>
            </w:r>
            <w:r>
              <w:rPr>
                <w:rFonts w:hint="eastAsia" w:ascii="Times New Roman" w:hAnsi="Times New Roman" w:eastAsia="宋体" w:cs="Times New Roman"/>
                <w:color w:val="000000"/>
                <w:sz w:val="24"/>
                <w:szCs w:val="24"/>
                <w:lang w:val="en-US" w:eastAsia="zh-CN"/>
              </w:rPr>
              <w:t>引水管道199米，</w:t>
            </w:r>
            <w:r>
              <w:rPr>
                <w:rFonts w:hint="default" w:ascii="Times New Roman" w:hAnsi="Times New Roman" w:eastAsia="宋体" w:cs="Times New Roman"/>
                <w:color w:val="000000"/>
                <w:sz w:val="24"/>
                <w:szCs w:val="24"/>
                <w:lang w:eastAsia="zh-CN"/>
              </w:rPr>
              <w:t>Φ</w:t>
            </w:r>
            <w:r>
              <w:rPr>
                <w:rFonts w:hint="eastAsia" w:ascii="宋体" w:hAnsi="宋体" w:eastAsia="宋体" w:cs="宋体"/>
                <w:color w:val="000000"/>
                <w:sz w:val="24"/>
                <w:szCs w:val="24"/>
                <w:lang w:val="en-US" w:eastAsia="zh-CN"/>
              </w:rPr>
              <w:t>225</w:t>
            </w:r>
            <w:r>
              <w:rPr>
                <w:rFonts w:hint="eastAsia" w:ascii="Times New Roman" w:hAnsi="Times New Roman" w:eastAsia="宋体" w:cs="Times New Roman"/>
                <w:color w:val="000000"/>
                <w:sz w:val="24"/>
                <w:szCs w:val="24"/>
                <w:lang w:eastAsia="zh-CN"/>
              </w:rPr>
              <w:t>PE100溢流管</w:t>
            </w:r>
            <w:r>
              <w:rPr>
                <w:rFonts w:hint="eastAsia" w:ascii="Times New Roman" w:hAnsi="Times New Roman" w:eastAsia="宋体" w:cs="Times New Roman"/>
                <w:color w:val="000000"/>
                <w:sz w:val="24"/>
                <w:szCs w:val="24"/>
                <w:lang w:val="en-US" w:eastAsia="zh-CN"/>
              </w:rPr>
              <w:t>125</w:t>
            </w:r>
            <w:r>
              <w:rPr>
                <w:rFonts w:hint="eastAsia" w:ascii="Times New Roman" w:hAnsi="Times New Roman" w:eastAsia="宋体" w:cs="Times New Roman"/>
                <w:color w:val="000000"/>
                <w:sz w:val="24"/>
                <w:szCs w:val="24"/>
                <w:lang w:eastAsia="zh-CN"/>
              </w:rPr>
              <w:t>米，</w:t>
            </w:r>
            <w:r>
              <w:rPr>
                <w:rFonts w:hint="default" w:ascii="Times New Roman" w:hAnsi="Times New Roman" w:eastAsia="宋体" w:cs="Times New Roman"/>
                <w:color w:val="000000"/>
                <w:sz w:val="24"/>
                <w:szCs w:val="24"/>
                <w:lang w:eastAsia="zh-CN"/>
              </w:rPr>
              <w:t>Φ</w:t>
            </w:r>
            <w:r>
              <w:rPr>
                <w:rFonts w:hint="eastAsia" w:ascii="Times New Roman" w:hAnsi="Times New Roman" w:eastAsia="宋体" w:cs="Times New Roman"/>
                <w:color w:val="000000"/>
                <w:sz w:val="24"/>
                <w:szCs w:val="24"/>
                <w:lang w:eastAsia="zh-CN"/>
              </w:rPr>
              <w:t>400</w:t>
            </w:r>
            <w:r>
              <w:rPr>
                <w:rFonts w:hint="eastAsia" w:ascii="Times New Roman" w:hAnsi="Times New Roman" w:eastAsia="宋体" w:cs="Times New Roman"/>
                <w:color w:val="000000"/>
                <w:sz w:val="24"/>
                <w:szCs w:val="24"/>
                <w:lang w:val="en-US" w:eastAsia="zh-CN"/>
              </w:rPr>
              <w:t>钢带增强聚乙烯螺旋波纹排水管道507</w:t>
            </w:r>
            <w:r>
              <w:rPr>
                <w:rFonts w:hint="eastAsia" w:ascii="Times New Roman" w:hAnsi="Times New Roman" w:eastAsia="宋体" w:cs="Times New Roman"/>
                <w:color w:val="000000"/>
                <w:sz w:val="24"/>
                <w:szCs w:val="24"/>
                <w:lang w:eastAsia="zh-CN"/>
              </w:rPr>
              <w:t>米。项目符合国家产业政策及尖扎县总体规划要求，在全面落实报告表提出的各项环保措施的基础上，按照环境影响报告表中所列建设项目的地点、性质、规模、建设方式及下述要求进行项目建设，我局同意该项目建设。</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color w:val="000000"/>
                <w:sz w:val="24"/>
                <w:szCs w:val="24"/>
                <w:lang w:eastAsia="zh-CN"/>
              </w:rPr>
            </w:pPr>
            <w:r>
              <w:rPr>
                <w:rFonts w:hint="eastAsia" w:ascii="Times New Roman" w:hAnsi="Times New Roman" w:eastAsia="宋体" w:cs="Times New Roman"/>
                <w:color w:val="000000"/>
                <w:sz w:val="24"/>
                <w:szCs w:val="24"/>
                <w:lang w:val="en-US" w:eastAsia="zh-CN"/>
              </w:rPr>
              <w:t>二、</w:t>
            </w:r>
            <w:r>
              <w:rPr>
                <w:rFonts w:hint="eastAsia" w:ascii="Times New Roman" w:hAnsi="Times New Roman" w:eastAsia="宋体" w:cs="Times New Roman"/>
                <w:color w:val="000000"/>
                <w:sz w:val="24"/>
                <w:szCs w:val="24"/>
                <w:lang w:eastAsia="zh-CN"/>
              </w:rPr>
              <w:t>项目建设和运营过程中重点做好以下工作</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color w:val="000000"/>
                <w:sz w:val="24"/>
                <w:szCs w:val="24"/>
                <w:lang w:eastAsia="zh-CN"/>
              </w:rPr>
            </w:pPr>
            <w:r>
              <w:rPr>
                <w:rFonts w:hint="eastAsia" w:ascii="Times New Roman" w:hAnsi="Times New Roman" w:eastAsia="宋体" w:cs="Times New Roman"/>
                <w:color w:val="000000"/>
                <w:sz w:val="24"/>
                <w:szCs w:val="24"/>
                <w:lang w:eastAsia="zh-CN"/>
              </w:rPr>
              <w:t>1、在施工阶段，应加强管理，制定文明施工制度，在土石方开挖外运时，为避免尘土飞扬，土体散落，对运输车辆加盖篷布，尽量减少污染。</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color w:val="000000"/>
                <w:sz w:val="24"/>
                <w:szCs w:val="24"/>
                <w:lang w:eastAsia="zh-CN"/>
              </w:rPr>
            </w:pPr>
            <w:r>
              <w:rPr>
                <w:rFonts w:hint="eastAsia" w:ascii="Times New Roman" w:hAnsi="Times New Roman" w:eastAsia="宋体" w:cs="Times New Roman"/>
                <w:color w:val="000000"/>
                <w:sz w:val="24"/>
                <w:szCs w:val="24"/>
                <w:lang w:eastAsia="zh-CN"/>
              </w:rPr>
              <w:t>2、进一步优化施工措施，只限定在项目所在区域内进行作业，严禁跨界作业；施工完成后对施工周边扰动区域进行清表和植被恢复。</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color w:val="000000"/>
                <w:sz w:val="24"/>
                <w:szCs w:val="24"/>
                <w:lang w:eastAsia="zh-CN"/>
              </w:rPr>
            </w:pPr>
            <w:r>
              <w:rPr>
                <w:rFonts w:hint="eastAsia" w:ascii="Times New Roman" w:hAnsi="Times New Roman" w:eastAsia="宋体" w:cs="Times New Roman"/>
                <w:color w:val="000000"/>
                <w:sz w:val="24"/>
                <w:szCs w:val="24"/>
                <w:lang w:eastAsia="zh-CN"/>
              </w:rPr>
              <w:t>3、加强开挖土方的临时堆存和回填，土石方集中堆存，临时堆存区域应遮盖处理且周边设置截排水，避免形成扬尘及污染雨水。生活垃圾定点收集，定期清理，建筑垃圾严禁随意丢弃堆置处理，能回收利用的回收利用，不能回收利用的统一收集送同仁市建筑垃圾堆场处理处置。</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color w:val="000000"/>
                <w:sz w:val="24"/>
                <w:szCs w:val="24"/>
                <w:lang w:eastAsia="zh-CN"/>
              </w:rPr>
            </w:pPr>
            <w:r>
              <w:rPr>
                <w:rFonts w:hint="eastAsia" w:ascii="Times New Roman" w:hAnsi="Times New Roman" w:eastAsia="宋体" w:cs="Times New Roman"/>
                <w:color w:val="000000"/>
                <w:sz w:val="24"/>
                <w:szCs w:val="24"/>
                <w:lang w:eastAsia="zh-CN"/>
              </w:rPr>
              <w:t>4、</w:t>
            </w:r>
            <w:r>
              <w:rPr>
                <w:rFonts w:hint="eastAsia" w:ascii="Times New Roman" w:hAnsi="Times New Roman" w:eastAsia="宋体" w:cs="Times New Roman"/>
                <w:color w:val="000000"/>
                <w:sz w:val="24"/>
                <w:szCs w:val="24"/>
                <w:lang w:val="en-US" w:eastAsia="zh-CN"/>
              </w:rPr>
              <w:t>优化工程施工周期，涉水施工应安排于枯水期进行施工作业，施工前应做好截排水及导流防护措施，严禁雨季洪水及径流等冲刷施工场地形成污染雨水。项目截排水及导流围堰等做好防冲刷设施，采用碎石压覆或草袋遮盖，严禁冲刷土质等的导流面，加剧水土流失并形成污染雨水。</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color w:val="000000"/>
                <w:sz w:val="24"/>
                <w:szCs w:val="24"/>
                <w:lang w:eastAsia="zh-CN"/>
              </w:rPr>
            </w:pPr>
            <w:r>
              <w:rPr>
                <w:rFonts w:hint="eastAsia" w:ascii="Times New Roman" w:hAnsi="Times New Roman" w:eastAsia="宋体" w:cs="Times New Roman"/>
                <w:color w:val="000000"/>
                <w:sz w:val="24"/>
                <w:szCs w:val="24"/>
                <w:lang w:val="en-US" w:eastAsia="zh-CN"/>
              </w:rPr>
              <w:t>5、</w:t>
            </w:r>
            <w:r>
              <w:rPr>
                <w:rFonts w:hint="eastAsia" w:ascii="Times New Roman" w:hAnsi="Times New Roman" w:eastAsia="宋体" w:cs="Times New Roman"/>
                <w:color w:val="000000"/>
                <w:sz w:val="24"/>
                <w:szCs w:val="24"/>
                <w:lang w:eastAsia="zh-CN"/>
              </w:rPr>
              <w:t>合理安排工期和适时使用施工机械设备，并采取有效的降噪措施，使施工噪声符合《建筑施工场界环境噪声排放标准》(GB12523-2011)的标准。</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color w:val="000000"/>
                <w:sz w:val="24"/>
                <w:szCs w:val="24"/>
                <w:lang w:eastAsia="zh-CN"/>
              </w:rPr>
            </w:pPr>
            <w:r>
              <w:rPr>
                <w:rFonts w:hint="eastAsia" w:ascii="Times New Roman" w:hAnsi="Times New Roman" w:eastAsia="宋体" w:cs="Times New Roman"/>
                <w:color w:val="000000"/>
                <w:sz w:val="24"/>
                <w:szCs w:val="24"/>
                <w:lang w:val="en-US" w:eastAsia="zh-CN"/>
              </w:rPr>
              <w:t>6</w:t>
            </w:r>
            <w:r>
              <w:rPr>
                <w:rFonts w:hint="eastAsia" w:ascii="Times New Roman" w:hAnsi="Times New Roman" w:eastAsia="宋体" w:cs="Times New Roman"/>
                <w:color w:val="000000"/>
                <w:sz w:val="24"/>
                <w:szCs w:val="24"/>
                <w:lang w:eastAsia="zh-CN"/>
              </w:rPr>
              <w:t>、项目施工期严禁在工地焚烧、填埋生活垃圾，严禁向河道内倾倒垃圾、清洗车辆。</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color w:val="000000"/>
                <w:sz w:val="24"/>
                <w:szCs w:val="24"/>
                <w:lang w:eastAsia="zh-CN"/>
              </w:rPr>
            </w:pPr>
            <w:r>
              <w:rPr>
                <w:rFonts w:hint="eastAsia" w:ascii="Times New Roman" w:hAnsi="Times New Roman" w:eastAsia="宋体" w:cs="Times New Roman"/>
                <w:color w:val="000000"/>
                <w:sz w:val="24"/>
                <w:szCs w:val="24"/>
                <w:lang w:val="en-US" w:eastAsia="zh-CN"/>
              </w:rPr>
              <w:t>7</w:t>
            </w:r>
            <w:r>
              <w:rPr>
                <w:rFonts w:hint="eastAsia" w:ascii="Times New Roman" w:hAnsi="Times New Roman" w:eastAsia="宋体" w:cs="Times New Roman"/>
                <w:color w:val="000000"/>
                <w:sz w:val="24"/>
                <w:szCs w:val="24"/>
                <w:lang w:eastAsia="zh-CN"/>
              </w:rPr>
              <w:t>、项目运营期间，必须对周边环境及临时占地进行植被恢复和绿化。</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color w:val="000000"/>
                <w:sz w:val="24"/>
                <w:szCs w:val="24"/>
                <w:lang w:eastAsia="zh-CN"/>
              </w:rPr>
            </w:pPr>
            <w:r>
              <w:rPr>
                <w:rFonts w:hint="eastAsia" w:ascii="Times New Roman" w:hAnsi="Times New Roman" w:eastAsia="宋体" w:cs="Times New Roman"/>
                <w:color w:val="000000"/>
                <w:sz w:val="24"/>
                <w:szCs w:val="24"/>
                <w:lang w:eastAsia="zh-CN"/>
              </w:rPr>
              <w:t>三、项目建设必须样执行环保设施与主体工程同时设计、同时施工、同时投入运行的“三同时”制度，项目竣工后，按照《建设项目竣工环境保护验收管理办法》规定，进行自验，并将验收后的相关材料报我局备案。</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color w:val="000000"/>
                <w:sz w:val="24"/>
                <w:szCs w:val="24"/>
                <w:lang w:eastAsia="zh-CN"/>
              </w:rPr>
            </w:pPr>
            <w:r>
              <w:rPr>
                <w:rFonts w:hint="eastAsia" w:ascii="Times New Roman" w:hAnsi="Times New Roman" w:eastAsia="宋体" w:cs="Times New Roman"/>
                <w:color w:val="000000"/>
                <w:sz w:val="24"/>
                <w:szCs w:val="24"/>
                <w:lang w:eastAsia="zh-CN"/>
              </w:rPr>
              <w:t>四、我局委托黄南州生态环境综合行政执法支队和尖扎县生态环境局负责该项目建设期的环境保护监督管理工作。</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color w:val="000000"/>
                <w:sz w:val="24"/>
                <w:szCs w:val="24"/>
                <w:lang w:eastAsia="zh-CN"/>
              </w:rPr>
            </w:pPr>
            <w:r>
              <w:rPr>
                <w:rFonts w:hint="eastAsia" w:ascii="Times New Roman" w:hAnsi="Times New Roman" w:eastAsia="宋体" w:cs="Times New Roman"/>
                <w:color w:val="000000"/>
                <w:sz w:val="24"/>
                <w:szCs w:val="24"/>
                <w:lang w:eastAsia="zh-CN"/>
              </w:rPr>
              <w:t>五、你办应接到本批复20个工作日内，将批复原文和项目环境影响报告表分送黄南州生态环境综合行政执法支队和尖扎县生态环境局，并按规定接受各级环境保护行政主管部门的监督检查。</w:t>
            </w:r>
          </w:p>
        </w:tc>
      </w:tr>
    </w:tbl>
    <w:p>
      <w:pPr>
        <w:spacing w:line="360" w:lineRule="auto"/>
        <w:rPr>
          <w:rFonts w:eastAsia="仿宋_GB2312"/>
          <w:color w:val="000000"/>
          <w:sz w:val="21"/>
          <w:szCs w:val="21"/>
        </w:rPr>
        <w:sectPr>
          <w:pgSz w:w="11906" w:h="16838"/>
          <w:pgMar w:top="1440" w:right="1800" w:bottom="1440" w:left="1800" w:header="708" w:footer="708" w:gutter="0"/>
          <w:pgBorders>
            <w:top w:val="none" w:sz="0" w:space="0"/>
            <w:left w:val="none" w:sz="0" w:space="0"/>
            <w:bottom w:val="none" w:sz="0" w:space="0"/>
            <w:right w:val="none" w:sz="0" w:space="0"/>
          </w:pgBorders>
          <w:pgNumType w:fmt="decimal"/>
          <w:cols w:space="720" w:num="1"/>
          <w:docGrid w:linePitch="360" w:charSpace="0"/>
        </w:sectPr>
      </w:pPr>
    </w:p>
    <w:p>
      <w:pPr>
        <w:spacing w:after="0" w:afterLines="0" w:line="360" w:lineRule="auto"/>
        <w:rPr>
          <w:rFonts w:hint="eastAsia" w:eastAsia="仿宋_GB2312"/>
          <w:b/>
          <w:color w:val="000000"/>
          <w:sz w:val="24"/>
          <w:szCs w:val="24"/>
        </w:rPr>
      </w:pPr>
      <w:r>
        <w:rPr>
          <w:rFonts w:eastAsia="仿宋_GB2312"/>
          <w:b/>
          <w:color w:val="000000"/>
          <w:sz w:val="24"/>
          <w:szCs w:val="24"/>
        </w:rPr>
        <w:t>表</w:t>
      </w:r>
      <w:r>
        <w:rPr>
          <w:rFonts w:hint="eastAsia" w:eastAsia="仿宋_GB2312"/>
          <w:b/>
          <w:color w:val="000000"/>
          <w:sz w:val="24"/>
          <w:szCs w:val="24"/>
        </w:rPr>
        <w:t>五</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96" w:hRule="atLeast"/>
          <w:jc w:val="center"/>
        </w:trPr>
        <w:tc>
          <w:tcPr>
            <w:tcW w:w="8924" w:type="dxa"/>
            <w:noWrap w:val="0"/>
            <w:vAlign w:val="top"/>
          </w:tcPr>
          <w:p>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楷体" w:cs="Times New Roman"/>
                <w:b/>
                <w:bCs/>
                <w:color w:val="000000"/>
                <w:sz w:val="28"/>
                <w:szCs w:val="28"/>
                <w:lang w:eastAsia="zh-CN"/>
              </w:rPr>
            </w:pPr>
            <w:r>
              <w:rPr>
                <w:rFonts w:hint="default" w:ascii="Times New Roman" w:hAnsi="Times New Roman" w:eastAsia="楷体" w:cs="Times New Roman"/>
                <w:b/>
                <w:bCs/>
                <w:color w:val="000000"/>
                <w:sz w:val="28"/>
                <w:szCs w:val="28"/>
                <w:lang w:eastAsia="zh-CN"/>
              </w:rPr>
              <w:t>5.1 监测分析方法</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项目竣工验收阶段采样监测分析方法详见表5-1：</w:t>
            </w:r>
          </w:p>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 xml:space="preserve">表5-1 </w:t>
            </w:r>
            <w:r>
              <w:rPr>
                <w:rFonts w:hint="eastAsia" w:ascii="Times New Roman" w:hAnsi="Times New Roman" w:eastAsia="宋体" w:cs="Times New Roman"/>
                <w:b/>
                <w:bCs/>
                <w:color w:val="000000"/>
                <w:sz w:val="21"/>
                <w:szCs w:val="21"/>
                <w:lang w:val="en-US" w:eastAsia="zh-CN"/>
              </w:rPr>
              <w:t xml:space="preserve"> </w:t>
            </w:r>
            <w:r>
              <w:rPr>
                <w:rFonts w:hint="default" w:ascii="Times New Roman" w:hAnsi="Times New Roman" w:eastAsia="宋体" w:cs="Times New Roman"/>
                <w:b/>
                <w:bCs/>
                <w:color w:val="000000"/>
                <w:sz w:val="21"/>
                <w:szCs w:val="21"/>
              </w:rPr>
              <w:t>采样监测分析方法</w:t>
            </w:r>
          </w:p>
          <w:tbl>
            <w:tblPr>
              <w:tblStyle w:val="11"/>
              <w:tblW w:w="8708"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1395"/>
              <w:gridCol w:w="580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0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000000"/>
                      <w:sz w:val="21"/>
                      <w:szCs w:val="21"/>
                      <w:vertAlign w:val="baseline"/>
                    </w:rPr>
                  </w:pPr>
                  <w:r>
                    <w:rPr>
                      <w:rFonts w:hint="default" w:ascii="Times New Roman" w:hAnsi="Times New Roman" w:eastAsia="宋体" w:cs="Times New Roman"/>
                      <w:color w:val="000000"/>
                      <w:sz w:val="21"/>
                      <w:szCs w:val="21"/>
                      <w:vertAlign w:val="baseline"/>
                    </w:rPr>
                    <w:t>检测类别</w:t>
                  </w:r>
                </w:p>
              </w:tc>
              <w:tc>
                <w:tcPr>
                  <w:tcW w:w="139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000000"/>
                      <w:sz w:val="21"/>
                      <w:szCs w:val="21"/>
                      <w:vertAlign w:val="baseline"/>
                    </w:rPr>
                  </w:pPr>
                  <w:r>
                    <w:rPr>
                      <w:rFonts w:hint="default" w:ascii="Times New Roman" w:hAnsi="Times New Roman" w:eastAsia="宋体" w:cs="Times New Roman"/>
                      <w:color w:val="000000"/>
                      <w:sz w:val="21"/>
                      <w:szCs w:val="21"/>
                      <w:vertAlign w:val="baseline"/>
                    </w:rPr>
                    <w:t>检测项目</w:t>
                  </w:r>
                </w:p>
              </w:tc>
              <w:tc>
                <w:tcPr>
                  <w:tcW w:w="5806"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000000"/>
                      <w:sz w:val="21"/>
                      <w:szCs w:val="21"/>
                      <w:vertAlign w:val="baseline"/>
                    </w:rPr>
                  </w:pPr>
                  <w:r>
                    <w:rPr>
                      <w:rFonts w:hint="default" w:ascii="Times New Roman" w:hAnsi="Times New Roman" w:eastAsia="宋体" w:cs="Times New Roman"/>
                      <w:color w:val="000000"/>
                      <w:sz w:val="21"/>
                      <w:szCs w:val="21"/>
                      <w:vertAlign w:val="baseline"/>
                    </w:rPr>
                    <w:t>检测方法及依据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07"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000000"/>
                      <w:sz w:val="21"/>
                      <w:szCs w:val="21"/>
                      <w:vertAlign w:val="baseline"/>
                    </w:rPr>
                  </w:pPr>
                  <w:r>
                    <w:rPr>
                      <w:rFonts w:hint="default" w:ascii="Times New Roman" w:hAnsi="Times New Roman" w:eastAsia="宋体" w:cs="Times New Roman"/>
                      <w:color w:val="000000"/>
                      <w:sz w:val="21"/>
                      <w:szCs w:val="21"/>
                      <w:vertAlign w:val="baseline"/>
                    </w:rPr>
                    <w:t>噪声</w:t>
                  </w:r>
                </w:p>
              </w:tc>
              <w:tc>
                <w:tcPr>
                  <w:tcW w:w="1395"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000000"/>
                      <w:sz w:val="21"/>
                      <w:szCs w:val="21"/>
                      <w:vertAlign w:val="baseline"/>
                    </w:rPr>
                  </w:pPr>
                  <w:r>
                    <w:rPr>
                      <w:rFonts w:hint="default" w:ascii="Times New Roman" w:hAnsi="Times New Roman" w:eastAsia="宋体" w:cs="Times New Roman"/>
                      <w:color w:val="000000"/>
                      <w:sz w:val="21"/>
                      <w:szCs w:val="21"/>
                      <w:vertAlign w:val="baseline"/>
                    </w:rPr>
                    <w:t>厂界噪声</w:t>
                  </w:r>
                </w:p>
              </w:tc>
              <w:tc>
                <w:tcPr>
                  <w:tcW w:w="5806"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000000"/>
                      <w:sz w:val="21"/>
                      <w:szCs w:val="21"/>
                      <w:vertAlign w:val="baseline"/>
                    </w:rPr>
                  </w:pPr>
                  <w:r>
                    <w:rPr>
                      <w:rFonts w:hint="default" w:ascii="Times New Roman" w:hAnsi="Times New Roman" w:eastAsia="宋体" w:cs="Times New Roman"/>
                      <w:color w:val="000000"/>
                      <w:sz w:val="24"/>
                      <w:szCs w:val="24"/>
                    </w:rPr>
                    <w:t>工业企业厂界环境噪声排放标准</w:t>
                  </w:r>
                  <w:r>
                    <w:rPr>
                      <w:rFonts w:hint="eastAsia"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rPr>
                    <w:t>GB12348-2008</w:t>
                  </w:r>
                  <w:r>
                    <w:rPr>
                      <w:rFonts w:hint="eastAsia" w:ascii="Times New Roman" w:hAnsi="Times New Roman" w:eastAsia="宋体" w:cs="Times New Roman"/>
                      <w:color w:val="000000"/>
                      <w:sz w:val="24"/>
                      <w:szCs w:val="24"/>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0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000000"/>
                      <w:sz w:val="21"/>
                      <w:szCs w:val="21"/>
                      <w:vertAlign w:val="baseline"/>
                    </w:rPr>
                  </w:pPr>
                </w:p>
              </w:tc>
              <w:tc>
                <w:tcPr>
                  <w:tcW w:w="139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000000"/>
                      <w:sz w:val="21"/>
                      <w:szCs w:val="21"/>
                      <w:vertAlign w:val="baseline"/>
                    </w:rPr>
                  </w:pPr>
                </w:p>
              </w:tc>
              <w:tc>
                <w:tcPr>
                  <w:tcW w:w="5806"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000000"/>
                      <w:sz w:val="21"/>
                      <w:szCs w:val="21"/>
                      <w:vertAlign w:val="baseline"/>
                    </w:rPr>
                  </w:pPr>
                  <w:r>
                    <w:rPr>
                      <w:rFonts w:hint="default" w:ascii="Times New Roman" w:hAnsi="Times New Roman" w:eastAsia="宋体" w:cs="Times New Roman"/>
                      <w:color w:val="000000"/>
                      <w:sz w:val="21"/>
                      <w:szCs w:val="21"/>
                      <w:vertAlign w:val="baseline"/>
                    </w:rPr>
                    <w:t>环境噪声监测技术规范噪声测量值修正</w:t>
                  </w:r>
                  <w:r>
                    <w:rPr>
                      <w:rFonts w:hint="eastAsia" w:ascii="Times New Roman" w:hAnsi="Times New Roman" w:eastAsia="宋体" w:cs="Times New Roman"/>
                      <w:color w:val="000000"/>
                      <w:sz w:val="21"/>
                      <w:szCs w:val="21"/>
                      <w:vertAlign w:val="baseline"/>
                      <w:lang w:eastAsia="zh-CN"/>
                    </w:rPr>
                    <w:t>（</w:t>
                  </w:r>
                  <w:r>
                    <w:rPr>
                      <w:rFonts w:hint="default" w:ascii="Times New Roman" w:hAnsi="Times New Roman" w:eastAsia="宋体" w:cs="Times New Roman"/>
                      <w:color w:val="000000"/>
                      <w:sz w:val="21"/>
                      <w:szCs w:val="21"/>
                      <w:vertAlign w:val="baseline"/>
                    </w:rPr>
                    <w:t>HJ706-2014</w:t>
                  </w:r>
                  <w:r>
                    <w:rPr>
                      <w:rFonts w:hint="eastAsia" w:ascii="Times New Roman" w:hAnsi="Times New Roman" w:eastAsia="宋体" w:cs="Times New Roman"/>
                      <w:color w:val="000000"/>
                      <w:sz w:val="21"/>
                      <w:szCs w:val="21"/>
                      <w:vertAlign w:val="baseline"/>
                      <w:lang w:eastAsia="zh-CN"/>
                    </w:rPr>
                    <w:t>）</w:t>
                  </w:r>
                </w:p>
              </w:tc>
            </w:tr>
          </w:tbl>
          <w:p>
            <w:pPr>
              <w:keepNext w:val="0"/>
              <w:keepLines w:val="0"/>
              <w:pageBreakBefore w:val="0"/>
              <w:widowControl/>
              <w:kinsoku/>
              <w:wordWrap/>
              <w:overflowPunct/>
              <w:topLinePunct w:val="0"/>
              <w:autoSpaceDE/>
              <w:autoSpaceDN/>
              <w:bidi w:val="0"/>
              <w:adjustRightInd w:val="0"/>
              <w:snapToGrid w:val="0"/>
              <w:spacing w:before="181" w:beforeLines="50"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项目竣工验收阶段使用的仪器及设备详见表5-2：</w:t>
            </w:r>
          </w:p>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表5-2 主要仪器设备</w:t>
            </w:r>
          </w:p>
          <w:tbl>
            <w:tblPr>
              <w:tblStyle w:val="11"/>
              <w:tblW w:w="870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902"/>
              <w:gridCol w:w="2903"/>
              <w:gridCol w:w="290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0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000000"/>
                      <w:sz w:val="21"/>
                      <w:szCs w:val="21"/>
                      <w:vertAlign w:val="baseline"/>
                    </w:rPr>
                  </w:pPr>
                  <w:r>
                    <w:rPr>
                      <w:rFonts w:hint="default" w:ascii="Times New Roman" w:hAnsi="Times New Roman" w:eastAsia="宋体" w:cs="Times New Roman"/>
                      <w:color w:val="000000"/>
                      <w:sz w:val="21"/>
                      <w:szCs w:val="21"/>
                      <w:vertAlign w:val="baseline"/>
                    </w:rPr>
                    <w:t>仪器设备</w:t>
                  </w:r>
                  <w:r>
                    <w:rPr>
                      <w:rFonts w:hint="default" w:ascii="Times New Roman" w:hAnsi="Times New Roman" w:eastAsia="宋体" w:cs="Times New Roman"/>
                      <w:color w:val="000000"/>
                      <w:sz w:val="21"/>
                      <w:szCs w:val="21"/>
                    </w:rPr>
                    <w:t>名称</w:t>
                  </w:r>
                </w:p>
              </w:tc>
              <w:tc>
                <w:tcPr>
                  <w:tcW w:w="290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000000"/>
                      <w:sz w:val="21"/>
                      <w:szCs w:val="21"/>
                      <w:vertAlign w:val="baseline"/>
                    </w:rPr>
                  </w:pPr>
                  <w:r>
                    <w:rPr>
                      <w:rFonts w:hint="default" w:ascii="Times New Roman" w:hAnsi="Times New Roman" w:eastAsia="宋体" w:cs="Times New Roman"/>
                      <w:color w:val="000000"/>
                      <w:sz w:val="21"/>
                      <w:szCs w:val="21"/>
                      <w:vertAlign w:val="baseline"/>
                    </w:rPr>
                    <w:t>型号/规格</w:t>
                  </w:r>
                </w:p>
              </w:tc>
              <w:tc>
                <w:tcPr>
                  <w:tcW w:w="290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000000"/>
                      <w:sz w:val="21"/>
                      <w:szCs w:val="21"/>
                      <w:vertAlign w:val="baseline"/>
                    </w:rPr>
                  </w:pPr>
                  <w:r>
                    <w:rPr>
                      <w:rFonts w:hint="default" w:ascii="Times New Roman" w:hAnsi="Times New Roman" w:eastAsia="宋体" w:cs="Times New Roman"/>
                      <w:color w:val="000000"/>
                      <w:sz w:val="21"/>
                      <w:szCs w:val="21"/>
                      <w:vertAlign w:val="baseline"/>
                    </w:rPr>
                    <w:t>仪器编号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0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000000"/>
                      <w:sz w:val="21"/>
                      <w:szCs w:val="21"/>
                      <w:vertAlign w:val="baseline"/>
                    </w:rPr>
                  </w:pPr>
                  <w:r>
                    <w:rPr>
                      <w:rFonts w:hint="default" w:ascii="Times New Roman" w:hAnsi="Times New Roman" w:eastAsia="宋体" w:cs="Times New Roman"/>
                      <w:color w:val="000000"/>
                      <w:sz w:val="21"/>
                      <w:szCs w:val="21"/>
                      <w:vertAlign w:val="baseline"/>
                    </w:rPr>
                    <w:t>多功能声级计</w:t>
                  </w:r>
                </w:p>
              </w:tc>
              <w:tc>
                <w:tcPr>
                  <w:tcW w:w="290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000000"/>
                      <w:sz w:val="21"/>
                      <w:szCs w:val="21"/>
                      <w:vertAlign w:val="baseline"/>
                    </w:rPr>
                  </w:pPr>
                  <w:r>
                    <w:rPr>
                      <w:rFonts w:hint="default" w:ascii="Times New Roman" w:hAnsi="Times New Roman" w:eastAsia="宋体" w:cs="Times New Roman"/>
                      <w:color w:val="000000"/>
                      <w:sz w:val="21"/>
                      <w:szCs w:val="21"/>
                      <w:vertAlign w:val="baseline"/>
                    </w:rPr>
                    <w:t>AWA5688</w:t>
                  </w:r>
                </w:p>
              </w:tc>
              <w:tc>
                <w:tcPr>
                  <w:tcW w:w="290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000000"/>
                      <w:sz w:val="21"/>
                      <w:szCs w:val="21"/>
                      <w:vertAlign w:val="baseline"/>
                    </w:rPr>
                  </w:pPr>
                  <w:r>
                    <w:rPr>
                      <w:rFonts w:hint="default" w:ascii="Times New Roman" w:hAnsi="Times New Roman" w:eastAsia="宋体" w:cs="Times New Roman"/>
                      <w:color w:val="000000"/>
                      <w:sz w:val="21"/>
                      <w:szCs w:val="21"/>
                      <w:vertAlign w:val="baseline"/>
                    </w:rPr>
                    <w:t>E197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0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000000"/>
                      <w:sz w:val="21"/>
                      <w:szCs w:val="21"/>
                      <w:vertAlign w:val="baseline"/>
                    </w:rPr>
                  </w:pPr>
                  <w:r>
                    <w:rPr>
                      <w:rFonts w:hint="default" w:ascii="Times New Roman" w:hAnsi="Times New Roman" w:eastAsia="宋体" w:cs="Times New Roman"/>
                      <w:color w:val="000000"/>
                      <w:sz w:val="21"/>
                      <w:szCs w:val="21"/>
                      <w:vertAlign w:val="baseline"/>
                    </w:rPr>
                    <w:t>声校准器</w:t>
                  </w:r>
                </w:p>
              </w:tc>
              <w:tc>
                <w:tcPr>
                  <w:tcW w:w="290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000000"/>
                      <w:sz w:val="21"/>
                      <w:szCs w:val="21"/>
                      <w:vertAlign w:val="baseline"/>
                    </w:rPr>
                  </w:pPr>
                  <w:r>
                    <w:rPr>
                      <w:rFonts w:hint="default" w:ascii="Times New Roman" w:hAnsi="Times New Roman" w:eastAsia="宋体" w:cs="Times New Roman"/>
                      <w:color w:val="000000"/>
                      <w:sz w:val="21"/>
                      <w:szCs w:val="21"/>
                      <w:vertAlign w:val="baseline"/>
                    </w:rPr>
                    <w:t>AWA6021A</w:t>
                  </w:r>
                </w:p>
              </w:tc>
              <w:tc>
                <w:tcPr>
                  <w:tcW w:w="290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000000"/>
                      <w:sz w:val="21"/>
                      <w:szCs w:val="21"/>
                      <w:vertAlign w:val="baseline"/>
                    </w:rPr>
                  </w:pPr>
                  <w:r>
                    <w:rPr>
                      <w:rFonts w:hint="default" w:ascii="Times New Roman" w:hAnsi="Times New Roman" w:eastAsia="宋体" w:cs="Times New Roman"/>
                      <w:color w:val="000000"/>
                      <w:sz w:val="21"/>
                      <w:szCs w:val="21"/>
                      <w:vertAlign w:val="baseline"/>
                    </w:rPr>
                    <w:t>E156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08"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000000"/>
                      <w:sz w:val="21"/>
                      <w:szCs w:val="21"/>
                      <w:vertAlign w:val="baseline"/>
                    </w:rPr>
                  </w:pPr>
                  <w:r>
                    <w:rPr>
                      <w:rFonts w:hint="default" w:ascii="Times New Roman" w:hAnsi="Times New Roman" w:eastAsia="宋体" w:cs="Times New Roman"/>
                      <w:color w:val="000000"/>
                      <w:sz w:val="21"/>
                      <w:szCs w:val="21"/>
                      <w:vertAlign w:val="baseline"/>
                    </w:rPr>
                    <w:t>注：所有仪器均在检定/校准有效期内使用</w:t>
                  </w:r>
                </w:p>
              </w:tc>
            </w:tr>
          </w:tbl>
          <w:p>
            <w:pPr>
              <w:keepNext w:val="0"/>
              <w:keepLines w:val="0"/>
              <w:pageBreakBefore w:val="0"/>
              <w:widowControl/>
              <w:kinsoku/>
              <w:wordWrap/>
              <w:overflowPunct/>
              <w:topLinePunct w:val="0"/>
              <w:autoSpaceDE/>
              <w:autoSpaceDN/>
              <w:bidi w:val="0"/>
              <w:adjustRightInd w:val="0"/>
              <w:snapToGrid w:val="0"/>
              <w:spacing w:before="181" w:beforeLines="50" w:after="0" w:line="360" w:lineRule="auto"/>
              <w:jc w:val="both"/>
              <w:textAlignment w:val="auto"/>
              <w:rPr>
                <w:rFonts w:hint="default" w:ascii="Times New Roman" w:hAnsi="Times New Roman" w:eastAsia="楷体" w:cs="Times New Roman"/>
                <w:b/>
                <w:bCs/>
                <w:color w:val="000000"/>
                <w:sz w:val="28"/>
                <w:szCs w:val="28"/>
                <w:lang w:eastAsia="zh-CN"/>
              </w:rPr>
            </w:pPr>
            <w:r>
              <w:rPr>
                <w:rFonts w:hint="default" w:ascii="Times New Roman" w:hAnsi="Times New Roman" w:eastAsia="楷体" w:cs="Times New Roman"/>
                <w:b/>
                <w:bCs/>
                <w:color w:val="000000"/>
                <w:sz w:val="28"/>
                <w:szCs w:val="28"/>
                <w:lang w:eastAsia="zh-CN"/>
              </w:rPr>
              <w:t>5.2 监测分析过程中的质量保证和质量控制</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噪声监测时严格按照国家标准方法的有关规定进行监测。</w:t>
            </w:r>
            <w:r>
              <w:rPr>
                <w:rFonts w:hint="eastAsia" w:ascii="Times New Roman" w:hAnsi="Times New Roman" w:eastAsia="宋体" w:cs="Times New Roman"/>
                <w:color w:val="000000"/>
                <w:sz w:val="24"/>
                <w:szCs w:val="24"/>
                <w:lang w:val="en-US" w:eastAsia="zh-CN"/>
              </w:rPr>
              <w:t>水</w:t>
            </w:r>
            <w:r>
              <w:rPr>
                <w:rFonts w:hint="default" w:ascii="Times New Roman" w:hAnsi="Times New Roman" w:eastAsia="宋体" w:cs="Times New Roman"/>
                <w:color w:val="000000"/>
                <w:sz w:val="24"/>
                <w:szCs w:val="24"/>
              </w:rPr>
              <w:t>厂生产工况正常，天气符合测量要求。测试前后对声级计进行校准，测量前后灵敏度相差不大于0.5dB。</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eastAsia" w:ascii="Times New Roman" w:hAnsi="Times New Roman" w:eastAsia="宋体" w:cs="Times New Roman"/>
                <w:color w:val="auto"/>
                <w:sz w:val="24"/>
                <w:szCs w:val="24"/>
                <w:lang w:val="en-US" w:eastAsia="zh-CN"/>
              </w:rPr>
              <w:t>青海邦宁环保检测有限公司是</w:t>
            </w:r>
            <w:r>
              <w:rPr>
                <w:rFonts w:hint="default" w:ascii="Times New Roman" w:hAnsi="Times New Roman" w:eastAsia="宋体" w:cs="Times New Roman"/>
                <w:color w:val="auto"/>
                <w:sz w:val="24"/>
                <w:szCs w:val="24"/>
              </w:rPr>
              <w:t>通过</w:t>
            </w:r>
            <w:r>
              <w:rPr>
                <w:rFonts w:hint="eastAsia" w:ascii="Times New Roman" w:hAnsi="Times New Roman" w:eastAsia="宋体" w:cs="Times New Roman"/>
                <w:color w:val="auto"/>
                <w:sz w:val="24"/>
                <w:szCs w:val="24"/>
                <w:lang w:val="en-US" w:eastAsia="zh-CN"/>
              </w:rPr>
              <w:t>青海省生态环境厅</w:t>
            </w:r>
            <w:r>
              <w:rPr>
                <w:rFonts w:hint="default" w:ascii="Times New Roman" w:hAnsi="Times New Roman" w:eastAsia="宋体" w:cs="Times New Roman"/>
                <w:color w:val="auto"/>
                <w:sz w:val="24"/>
                <w:szCs w:val="24"/>
              </w:rPr>
              <w:t>的认定和考核，获得检验检测机构资质认定证书，是一家第三方专业检测机构。主要从事环境质量、污染源、等领域环境检测技术咨询，因此监测质量有保证。</w:t>
            </w:r>
          </w:p>
        </w:tc>
      </w:tr>
    </w:tbl>
    <w:p>
      <w:pPr>
        <w:spacing w:line="360" w:lineRule="auto"/>
        <w:rPr>
          <w:rFonts w:hint="eastAsia" w:eastAsia="仿宋_GB2312"/>
          <w:color w:val="000000"/>
          <w:sz w:val="21"/>
          <w:szCs w:val="21"/>
        </w:rPr>
      </w:pPr>
    </w:p>
    <w:p>
      <w:pPr>
        <w:spacing w:line="360" w:lineRule="auto"/>
        <w:rPr>
          <w:rFonts w:eastAsia="仿宋_GB2312"/>
          <w:color w:val="000000"/>
          <w:sz w:val="21"/>
          <w:szCs w:val="21"/>
        </w:rPr>
        <w:sectPr>
          <w:pgSz w:w="11906" w:h="16838"/>
          <w:pgMar w:top="1440" w:right="1800" w:bottom="1440" w:left="1800" w:header="708" w:footer="708" w:gutter="0"/>
          <w:pgBorders>
            <w:top w:val="none" w:sz="0" w:space="0"/>
            <w:left w:val="none" w:sz="0" w:space="0"/>
            <w:bottom w:val="none" w:sz="0" w:space="0"/>
            <w:right w:val="none" w:sz="0" w:space="0"/>
          </w:pgBorders>
          <w:pgNumType w:fmt="decimal"/>
          <w:cols w:space="720" w:num="1"/>
          <w:docGrid w:linePitch="360" w:charSpace="0"/>
        </w:sectPr>
      </w:pPr>
    </w:p>
    <w:p>
      <w:pPr>
        <w:spacing w:after="0" w:afterLines="0" w:line="360" w:lineRule="auto"/>
        <w:rPr>
          <w:rFonts w:hint="eastAsia" w:eastAsia="仿宋_GB2312"/>
          <w:b/>
          <w:color w:val="000000"/>
          <w:sz w:val="24"/>
          <w:szCs w:val="24"/>
        </w:rPr>
      </w:pPr>
      <w:r>
        <w:rPr>
          <w:rFonts w:eastAsia="仿宋_GB2312"/>
          <w:b/>
          <w:color w:val="000000"/>
          <w:sz w:val="24"/>
          <w:szCs w:val="24"/>
        </w:rPr>
        <w:t>表</w:t>
      </w:r>
      <w:r>
        <w:rPr>
          <w:rFonts w:hint="eastAsia" w:eastAsia="仿宋_GB2312"/>
          <w:b/>
          <w:color w:val="000000"/>
          <w:sz w:val="24"/>
          <w:szCs w:val="24"/>
        </w:rPr>
        <w:t>六</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59" w:hRule="atLeast"/>
          <w:jc w:val="center"/>
        </w:trPr>
        <w:tc>
          <w:tcPr>
            <w:tcW w:w="8924" w:type="dxa"/>
            <w:noWrap w:val="0"/>
            <w:vAlign w:val="top"/>
          </w:tcPr>
          <w:p>
            <w:pPr>
              <w:keepNext w:val="0"/>
              <w:keepLines w:val="0"/>
              <w:pageBreakBefore w:val="0"/>
              <w:widowControl/>
              <w:kinsoku/>
              <w:wordWrap/>
              <w:overflowPunct/>
              <w:topLinePunct w:val="0"/>
              <w:autoSpaceDE/>
              <w:autoSpaceDN/>
              <w:bidi w:val="0"/>
              <w:adjustRightInd w:val="0"/>
              <w:snapToGrid w:val="0"/>
              <w:spacing w:before="181" w:beforeLines="50" w:after="0" w:line="360" w:lineRule="auto"/>
              <w:jc w:val="both"/>
              <w:textAlignment w:val="auto"/>
              <w:rPr>
                <w:rFonts w:hint="default" w:ascii="Times New Roman" w:hAnsi="Times New Roman" w:eastAsia="楷体" w:cs="Times New Roman"/>
                <w:b/>
                <w:bCs/>
                <w:color w:val="000000"/>
                <w:sz w:val="28"/>
                <w:szCs w:val="28"/>
                <w:lang w:eastAsia="zh-CN"/>
              </w:rPr>
            </w:pPr>
            <w:r>
              <w:rPr>
                <w:rFonts w:hint="default" w:ascii="Times New Roman" w:hAnsi="Times New Roman" w:eastAsia="楷体" w:cs="Times New Roman"/>
                <w:b/>
                <w:bCs/>
                <w:color w:val="000000"/>
                <w:sz w:val="28"/>
                <w:szCs w:val="28"/>
                <w:lang w:eastAsia="zh-CN"/>
              </w:rPr>
              <w:t>6.1 验收监测方案</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（1）噪声</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该项目噪声监测频次见表6.1-1，监测点位见附图。</w:t>
            </w:r>
          </w:p>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 xml:space="preserve">表6.1-1 </w:t>
            </w:r>
            <w:r>
              <w:rPr>
                <w:rFonts w:hint="eastAsia" w:ascii="Times New Roman" w:hAnsi="Times New Roman" w:eastAsia="宋体" w:cs="Times New Roman"/>
                <w:b/>
                <w:bCs/>
                <w:color w:val="000000"/>
                <w:sz w:val="21"/>
                <w:szCs w:val="21"/>
                <w:lang w:val="en-US" w:eastAsia="zh-CN"/>
              </w:rPr>
              <w:t xml:space="preserve"> </w:t>
            </w:r>
            <w:r>
              <w:rPr>
                <w:rFonts w:hint="default" w:ascii="Times New Roman" w:hAnsi="Times New Roman" w:eastAsia="宋体" w:cs="Times New Roman"/>
                <w:b/>
                <w:bCs/>
                <w:color w:val="000000"/>
                <w:sz w:val="21"/>
                <w:szCs w:val="21"/>
              </w:rPr>
              <w:t>监测内容一览表</w:t>
            </w:r>
          </w:p>
          <w:tbl>
            <w:tblPr>
              <w:tblStyle w:val="11"/>
              <w:tblW w:w="8708"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1320"/>
              <w:gridCol w:w="1451"/>
              <w:gridCol w:w="1451"/>
              <w:gridCol w:w="1452"/>
              <w:gridCol w:w="145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名称</w:t>
                  </w:r>
                </w:p>
              </w:tc>
              <w:tc>
                <w:tcPr>
                  <w:tcW w:w="132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污染源</w:t>
                  </w:r>
                </w:p>
              </w:tc>
              <w:tc>
                <w:tcPr>
                  <w:tcW w:w="145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监测点位</w:t>
                  </w:r>
                </w:p>
              </w:tc>
              <w:tc>
                <w:tcPr>
                  <w:tcW w:w="145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监测频率</w:t>
                  </w:r>
                </w:p>
              </w:tc>
              <w:tc>
                <w:tcPr>
                  <w:tcW w:w="145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监测因子</w:t>
                  </w:r>
                </w:p>
              </w:tc>
              <w:tc>
                <w:tcPr>
                  <w:tcW w:w="145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000000"/>
                      <w:sz w:val="21"/>
                      <w:szCs w:val="21"/>
                      <w:vertAlign w:val="baseline"/>
                    </w:rPr>
                  </w:pPr>
                  <w:r>
                    <w:rPr>
                      <w:rFonts w:hint="eastAsia" w:ascii="Times New Roman" w:hAnsi="Times New Roman" w:eastAsia="宋体" w:cs="Times New Roman"/>
                      <w:color w:val="000000"/>
                      <w:sz w:val="21"/>
                      <w:szCs w:val="21"/>
                      <w:vertAlign w:val="baseline"/>
                      <w:lang w:eastAsia="zh-CN"/>
                    </w:rPr>
                    <w:t>措周</w:t>
                  </w:r>
                  <w:r>
                    <w:rPr>
                      <w:rFonts w:hint="default" w:ascii="Times New Roman" w:hAnsi="Times New Roman" w:eastAsia="宋体" w:cs="Times New Roman"/>
                      <w:color w:val="000000"/>
                      <w:sz w:val="21"/>
                      <w:szCs w:val="21"/>
                      <w:vertAlign w:val="baseline"/>
                    </w:rPr>
                    <w:t>乡水厂</w:t>
                  </w:r>
                </w:p>
              </w:tc>
              <w:tc>
                <w:tcPr>
                  <w:tcW w:w="132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000000"/>
                      <w:sz w:val="21"/>
                      <w:szCs w:val="21"/>
                      <w:vertAlign w:val="baseline"/>
                    </w:rPr>
                  </w:pPr>
                  <w:r>
                    <w:rPr>
                      <w:rFonts w:hint="default" w:ascii="Times New Roman" w:hAnsi="Times New Roman" w:eastAsia="宋体" w:cs="Times New Roman"/>
                      <w:color w:val="000000"/>
                      <w:sz w:val="21"/>
                      <w:szCs w:val="21"/>
                      <w:vertAlign w:val="baseline"/>
                    </w:rPr>
                    <w:t>设备噪声</w:t>
                  </w:r>
                </w:p>
              </w:tc>
              <w:tc>
                <w:tcPr>
                  <w:tcW w:w="145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厂界四周外1m处</w:t>
                  </w:r>
                </w:p>
              </w:tc>
              <w:tc>
                <w:tcPr>
                  <w:tcW w:w="145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2天，每天昼夜各一次</w:t>
                  </w:r>
                </w:p>
              </w:tc>
              <w:tc>
                <w:tcPr>
                  <w:tcW w:w="145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000000"/>
                      <w:sz w:val="21"/>
                      <w:szCs w:val="21"/>
                      <w:vertAlign w:val="baseline"/>
                    </w:rPr>
                  </w:pPr>
                  <w:r>
                    <w:rPr>
                      <w:rFonts w:hint="default" w:ascii="Times New Roman" w:hAnsi="Times New Roman" w:eastAsia="宋体" w:cs="Times New Roman"/>
                      <w:color w:val="000000"/>
                      <w:sz w:val="21"/>
                      <w:szCs w:val="21"/>
                      <w:vertAlign w:val="baseline"/>
                    </w:rPr>
                    <w:t>等效连续A声级</w:t>
                  </w:r>
                </w:p>
              </w:tc>
              <w:tc>
                <w:tcPr>
                  <w:tcW w:w="145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000000"/>
                      <w:sz w:val="21"/>
                      <w:szCs w:val="21"/>
                      <w:vertAlign w:val="baseline"/>
                    </w:rPr>
                  </w:pPr>
                  <w:r>
                    <w:rPr>
                      <w:rFonts w:hint="default" w:ascii="Times New Roman" w:hAnsi="Times New Roman" w:eastAsia="宋体" w:cs="Times New Roman"/>
                      <w:color w:val="000000"/>
                      <w:sz w:val="21"/>
                      <w:szCs w:val="21"/>
                      <w:vertAlign w:val="baseline"/>
                    </w:rPr>
                    <w:t>（GB12348-2008）</w:t>
                  </w:r>
                  <w:r>
                    <w:rPr>
                      <w:rFonts w:hint="eastAsia" w:ascii="Times New Roman" w:hAnsi="Times New Roman" w:eastAsia="宋体" w:cs="Times New Roman"/>
                      <w:color w:val="000000"/>
                      <w:sz w:val="21"/>
                      <w:szCs w:val="21"/>
                      <w:vertAlign w:val="baseline"/>
                      <w:lang w:val="en-US" w:eastAsia="zh-CN"/>
                    </w:rPr>
                    <w:t>2</w:t>
                  </w:r>
                  <w:r>
                    <w:rPr>
                      <w:rFonts w:hint="default" w:ascii="Times New Roman" w:hAnsi="Times New Roman" w:eastAsia="宋体" w:cs="Times New Roman"/>
                      <w:color w:val="000000"/>
                      <w:sz w:val="21"/>
                      <w:szCs w:val="21"/>
                      <w:vertAlign w:val="baseline"/>
                    </w:rPr>
                    <w:t>类标准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08" w:type="dxa"/>
                  <w:gridSpan w:val="6"/>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000000"/>
                      <w:sz w:val="21"/>
                      <w:szCs w:val="21"/>
                      <w:vertAlign w:val="baseline"/>
                    </w:rPr>
                  </w:pPr>
                  <w:r>
                    <w:rPr>
                      <w:rFonts w:hint="default" w:ascii="Times New Roman" w:hAnsi="Times New Roman" w:eastAsia="宋体" w:cs="Times New Roman"/>
                      <w:color w:val="000000"/>
                      <w:sz w:val="21"/>
                      <w:szCs w:val="21"/>
                      <w:vertAlign w:val="baseline"/>
                    </w:rPr>
                    <w:t>执行《工业企业厂界环境噪声排放标准》（GB12348-2008）</w:t>
                  </w:r>
                  <w:r>
                    <w:rPr>
                      <w:rFonts w:hint="eastAsia" w:ascii="Times New Roman" w:hAnsi="Times New Roman" w:eastAsia="宋体" w:cs="Times New Roman"/>
                      <w:color w:val="000000"/>
                      <w:sz w:val="21"/>
                      <w:szCs w:val="21"/>
                      <w:vertAlign w:val="baseline"/>
                      <w:lang w:val="en-US" w:eastAsia="zh-CN"/>
                    </w:rPr>
                    <w:t>2</w:t>
                  </w:r>
                  <w:r>
                    <w:rPr>
                      <w:rFonts w:hint="default" w:ascii="Times New Roman" w:hAnsi="Times New Roman" w:eastAsia="宋体" w:cs="Times New Roman"/>
                      <w:color w:val="000000"/>
                      <w:sz w:val="21"/>
                      <w:szCs w:val="21"/>
                      <w:vertAlign w:val="baseline"/>
                    </w:rPr>
                    <w:t>类标准</w:t>
                  </w:r>
                </w:p>
              </w:tc>
            </w:tr>
          </w:tbl>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default" w:ascii="Times New Roman" w:hAnsi="Times New Roman" w:eastAsia="宋体" w:cs="Times New Roman"/>
                <w:color w:val="000000"/>
                <w:sz w:val="24"/>
                <w:szCs w:val="24"/>
              </w:rPr>
            </w:pPr>
          </w:p>
        </w:tc>
      </w:tr>
    </w:tbl>
    <w:p>
      <w:pPr>
        <w:spacing w:line="360" w:lineRule="auto"/>
        <w:rPr>
          <w:rFonts w:hint="eastAsia" w:eastAsia="仿宋_GB2312"/>
          <w:color w:val="000000"/>
          <w:sz w:val="21"/>
          <w:szCs w:val="21"/>
        </w:rPr>
      </w:pPr>
    </w:p>
    <w:p>
      <w:pPr>
        <w:spacing w:after="0" w:afterLines="0" w:line="360" w:lineRule="auto"/>
        <w:rPr>
          <w:rFonts w:eastAsia="仿宋_GB2312"/>
          <w:b/>
          <w:color w:val="000000"/>
          <w:sz w:val="21"/>
          <w:szCs w:val="21"/>
        </w:rPr>
        <w:sectPr>
          <w:pgSz w:w="11906" w:h="16838"/>
          <w:pgMar w:top="1440" w:right="1800" w:bottom="1440" w:left="1800" w:header="708" w:footer="708" w:gutter="0"/>
          <w:pgBorders>
            <w:top w:val="none" w:sz="0" w:space="0"/>
            <w:left w:val="none" w:sz="0" w:space="0"/>
            <w:bottom w:val="none" w:sz="0" w:space="0"/>
            <w:right w:val="none" w:sz="0" w:space="0"/>
          </w:pgBorders>
          <w:pgNumType w:fmt="decimal"/>
          <w:cols w:space="720" w:num="1"/>
          <w:docGrid w:linePitch="360" w:charSpace="0"/>
        </w:sectPr>
      </w:pPr>
    </w:p>
    <w:p>
      <w:pPr>
        <w:spacing w:after="0" w:afterLines="0" w:line="360" w:lineRule="auto"/>
        <w:rPr>
          <w:rFonts w:hint="eastAsia" w:eastAsia="仿宋_GB2312"/>
          <w:b/>
          <w:color w:val="000000"/>
          <w:sz w:val="24"/>
          <w:szCs w:val="24"/>
        </w:rPr>
      </w:pPr>
      <w:r>
        <w:rPr>
          <w:rFonts w:eastAsia="仿宋_GB2312"/>
          <w:b/>
          <w:color w:val="000000"/>
          <w:sz w:val="24"/>
          <w:szCs w:val="24"/>
        </w:rPr>
        <w:t>表</w:t>
      </w:r>
      <w:r>
        <w:rPr>
          <w:rFonts w:hint="eastAsia" w:eastAsia="仿宋_GB2312"/>
          <w:b/>
          <w:color w:val="000000"/>
          <w:sz w:val="24"/>
          <w:szCs w:val="24"/>
        </w:rPr>
        <w:t>七</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9" w:hRule="atLeast"/>
          <w:jc w:val="center"/>
        </w:trPr>
        <w:tc>
          <w:tcPr>
            <w:tcW w:w="8924" w:type="dxa"/>
            <w:noWrap w:val="0"/>
            <w:vAlign w:val="top"/>
          </w:tcPr>
          <w:p>
            <w:pPr>
              <w:keepNext w:val="0"/>
              <w:keepLines w:val="0"/>
              <w:pageBreakBefore w:val="0"/>
              <w:widowControl/>
              <w:kinsoku/>
              <w:wordWrap/>
              <w:overflowPunct/>
              <w:topLinePunct w:val="0"/>
              <w:autoSpaceDE/>
              <w:autoSpaceDN/>
              <w:bidi w:val="0"/>
              <w:adjustRightInd w:val="0"/>
              <w:snapToGrid w:val="0"/>
              <w:spacing w:before="181" w:beforeLines="50" w:after="0" w:line="360" w:lineRule="auto"/>
              <w:jc w:val="both"/>
              <w:textAlignment w:val="auto"/>
              <w:rPr>
                <w:rFonts w:hint="default" w:ascii="Times New Roman" w:hAnsi="Times New Roman" w:eastAsia="楷体" w:cs="Times New Roman"/>
                <w:b/>
                <w:bCs/>
                <w:color w:val="000000"/>
                <w:sz w:val="28"/>
                <w:szCs w:val="28"/>
                <w:lang w:eastAsia="zh-CN"/>
              </w:rPr>
            </w:pPr>
            <w:r>
              <w:rPr>
                <w:rFonts w:hint="default" w:ascii="Times New Roman" w:hAnsi="Times New Roman" w:eastAsia="楷体" w:cs="Times New Roman"/>
                <w:b/>
                <w:bCs/>
                <w:color w:val="000000"/>
                <w:sz w:val="28"/>
                <w:szCs w:val="28"/>
                <w:lang w:eastAsia="zh-CN"/>
              </w:rPr>
              <w:t>7.1 监测工况</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auto"/>
                <w:sz w:val="24"/>
                <w:szCs w:val="24"/>
              </w:rPr>
              <w:t>根据</w:t>
            </w:r>
            <w:r>
              <w:rPr>
                <w:rFonts w:hint="eastAsia" w:ascii="Times New Roman" w:hAnsi="Times New Roman" w:eastAsia="宋体" w:cs="Times New Roman"/>
                <w:color w:val="auto"/>
                <w:sz w:val="24"/>
                <w:szCs w:val="24"/>
                <w:lang w:val="en-US" w:eastAsia="zh-CN"/>
              </w:rPr>
              <w:t>青邦检</w:t>
            </w:r>
            <w:r>
              <w:rPr>
                <w:rFonts w:hint="default" w:ascii="Times New Roman" w:hAnsi="Times New Roman" w:eastAsia="宋体" w:cs="Times New Roman"/>
                <w:color w:val="auto"/>
                <w:sz w:val="24"/>
                <w:szCs w:val="24"/>
              </w:rPr>
              <w:t>字【202</w:t>
            </w:r>
            <w:r>
              <w:rPr>
                <w:rFonts w:hint="eastAsia"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rPr>
              <w:t>】第</w:t>
            </w:r>
            <w:r>
              <w:rPr>
                <w:rFonts w:hint="eastAsia" w:ascii="Times New Roman" w:hAnsi="Times New Roman" w:eastAsia="宋体" w:cs="Times New Roman"/>
                <w:color w:val="auto"/>
                <w:sz w:val="24"/>
                <w:szCs w:val="24"/>
                <w:lang w:val="en-US" w:eastAsia="zh-CN"/>
              </w:rPr>
              <w:t>271</w:t>
            </w:r>
            <w:r>
              <w:rPr>
                <w:rFonts w:hint="default" w:ascii="Times New Roman" w:hAnsi="Times New Roman" w:eastAsia="宋体" w:cs="Times New Roman"/>
                <w:color w:val="auto"/>
                <w:sz w:val="24"/>
                <w:szCs w:val="24"/>
              </w:rPr>
              <w:t>号，项目监</w:t>
            </w:r>
            <w:r>
              <w:rPr>
                <w:rFonts w:hint="default" w:ascii="Times New Roman" w:hAnsi="Times New Roman" w:eastAsia="宋体" w:cs="Times New Roman"/>
                <w:color w:val="000000"/>
                <w:sz w:val="24"/>
                <w:szCs w:val="24"/>
              </w:rPr>
              <w:t>测期间</w:t>
            </w:r>
            <w:r>
              <w:rPr>
                <w:rFonts w:hint="eastAsia" w:ascii="Times New Roman" w:hAnsi="Times New Roman" w:eastAsia="宋体" w:cs="Times New Roman"/>
                <w:color w:val="000000"/>
                <w:sz w:val="24"/>
                <w:szCs w:val="24"/>
                <w:lang w:val="en-US" w:eastAsia="zh-CN"/>
              </w:rPr>
              <w:t>措周乡净化</w:t>
            </w:r>
            <w:r>
              <w:rPr>
                <w:rFonts w:hint="default" w:ascii="Times New Roman" w:hAnsi="Times New Roman" w:eastAsia="宋体" w:cs="Times New Roman"/>
                <w:color w:val="000000"/>
                <w:sz w:val="24"/>
                <w:szCs w:val="24"/>
              </w:rPr>
              <w:t>水厂正常运营。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90" w:hRule="atLeast"/>
          <w:jc w:val="center"/>
        </w:trPr>
        <w:tc>
          <w:tcPr>
            <w:tcW w:w="8924" w:type="dxa"/>
            <w:noWrap w:val="0"/>
            <w:vAlign w:val="top"/>
          </w:tcPr>
          <w:p>
            <w:pPr>
              <w:keepNext w:val="0"/>
              <w:keepLines w:val="0"/>
              <w:pageBreakBefore w:val="0"/>
              <w:widowControl/>
              <w:kinsoku/>
              <w:wordWrap/>
              <w:overflowPunct/>
              <w:topLinePunct w:val="0"/>
              <w:autoSpaceDE/>
              <w:autoSpaceDN/>
              <w:bidi w:val="0"/>
              <w:adjustRightInd w:val="0"/>
              <w:snapToGrid w:val="0"/>
              <w:spacing w:before="181" w:beforeLines="50" w:after="0" w:line="360" w:lineRule="auto"/>
              <w:jc w:val="both"/>
              <w:textAlignment w:val="auto"/>
              <w:rPr>
                <w:rFonts w:hint="default" w:ascii="Times New Roman" w:hAnsi="Times New Roman" w:eastAsia="楷体" w:cs="Times New Roman"/>
                <w:b/>
                <w:bCs/>
                <w:color w:val="000000"/>
                <w:sz w:val="28"/>
                <w:szCs w:val="28"/>
                <w:lang w:eastAsia="zh-CN"/>
              </w:rPr>
            </w:pPr>
            <w:r>
              <w:rPr>
                <w:rFonts w:hint="eastAsia" w:ascii="Times New Roman" w:hAnsi="Times New Roman" w:eastAsia="楷体" w:cs="Times New Roman"/>
                <w:b/>
                <w:bCs/>
                <w:color w:val="000000"/>
                <w:sz w:val="28"/>
                <w:szCs w:val="28"/>
                <w:lang w:val="en-US" w:eastAsia="zh-CN"/>
              </w:rPr>
              <w:t xml:space="preserve">7.2 </w:t>
            </w:r>
            <w:r>
              <w:rPr>
                <w:rFonts w:hint="default" w:ascii="Times New Roman" w:hAnsi="Times New Roman" w:eastAsia="楷体" w:cs="Times New Roman"/>
                <w:b/>
                <w:bCs/>
                <w:color w:val="000000"/>
                <w:sz w:val="28"/>
                <w:szCs w:val="28"/>
                <w:lang w:eastAsia="zh-CN"/>
              </w:rPr>
              <w:t>验收监测结果</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本项目厂界噪声监测结果见下表所示：</w:t>
            </w:r>
          </w:p>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 xml:space="preserve">表7.2-1 </w:t>
            </w:r>
            <w:r>
              <w:rPr>
                <w:rFonts w:hint="eastAsia" w:ascii="Times New Roman" w:hAnsi="Times New Roman" w:eastAsia="宋体" w:cs="Times New Roman"/>
                <w:color w:val="000000"/>
                <w:sz w:val="21"/>
                <w:szCs w:val="21"/>
                <w:lang w:val="en-US" w:eastAsia="zh-CN"/>
              </w:rPr>
              <w:t xml:space="preserve"> </w:t>
            </w:r>
            <w:r>
              <w:rPr>
                <w:rFonts w:hint="default" w:ascii="Times New Roman" w:hAnsi="Times New Roman" w:eastAsia="宋体" w:cs="Times New Roman"/>
                <w:color w:val="000000"/>
                <w:sz w:val="21"/>
                <w:szCs w:val="21"/>
              </w:rPr>
              <w:t>厂界噪声监测结果一览表</w:t>
            </w:r>
          </w:p>
          <w:tbl>
            <w:tblPr>
              <w:tblStyle w:val="11"/>
              <w:tblW w:w="8708"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1741"/>
              <w:gridCol w:w="1742"/>
              <w:gridCol w:w="1742"/>
              <w:gridCol w:w="174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41"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监测点位编号</w:t>
                  </w:r>
                </w:p>
              </w:tc>
              <w:tc>
                <w:tcPr>
                  <w:tcW w:w="6967" w:type="dxa"/>
                  <w:gridSpan w:val="4"/>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000000"/>
                      <w:sz w:val="21"/>
                      <w:szCs w:val="21"/>
                      <w:vertAlign w:val="baseline"/>
                    </w:rPr>
                  </w:pPr>
                  <w:r>
                    <w:rPr>
                      <w:rFonts w:hint="eastAsia" w:ascii="Times New Roman" w:hAnsi="Times New Roman" w:eastAsia="宋体" w:cs="Times New Roman"/>
                      <w:color w:val="000000"/>
                      <w:sz w:val="21"/>
                      <w:szCs w:val="21"/>
                      <w:vertAlign w:val="baseline"/>
                      <w:lang w:val="en-US" w:eastAsia="zh-CN"/>
                    </w:rPr>
                    <w:t>检测结果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4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000000"/>
                      <w:sz w:val="21"/>
                      <w:szCs w:val="21"/>
                      <w:vertAlign w:val="baseline"/>
                    </w:rPr>
                  </w:pPr>
                </w:p>
              </w:tc>
              <w:tc>
                <w:tcPr>
                  <w:tcW w:w="3483"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rPr>
                  </w:pPr>
                  <w:r>
                    <w:rPr>
                      <w:rFonts w:hint="eastAsia" w:ascii="Times New Roman" w:hAnsi="Times New Roman" w:eastAsia="宋体" w:cs="Times New Roman"/>
                      <w:color w:val="auto"/>
                      <w:sz w:val="21"/>
                      <w:szCs w:val="21"/>
                      <w:vertAlign w:val="baseline"/>
                      <w:lang w:val="en-US" w:eastAsia="zh-CN"/>
                    </w:rPr>
                    <w:t>2023.11.8</w:t>
                  </w:r>
                </w:p>
              </w:tc>
              <w:tc>
                <w:tcPr>
                  <w:tcW w:w="3484"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rPr>
                  </w:pPr>
                  <w:r>
                    <w:rPr>
                      <w:rFonts w:hint="eastAsia" w:ascii="Times New Roman" w:hAnsi="Times New Roman" w:eastAsia="宋体" w:cs="Times New Roman"/>
                      <w:color w:val="auto"/>
                      <w:sz w:val="21"/>
                      <w:szCs w:val="21"/>
                      <w:vertAlign w:val="baseline"/>
                      <w:lang w:val="en-US" w:eastAsia="zh-CN"/>
                    </w:rPr>
                    <w:t>2023.11.9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4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000000"/>
                      <w:sz w:val="21"/>
                      <w:szCs w:val="21"/>
                      <w:vertAlign w:val="baseline"/>
                    </w:rPr>
                  </w:pPr>
                </w:p>
              </w:tc>
              <w:tc>
                <w:tcPr>
                  <w:tcW w:w="17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昼间</w:t>
                  </w:r>
                </w:p>
              </w:tc>
              <w:tc>
                <w:tcPr>
                  <w:tcW w:w="174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夜间</w:t>
                  </w:r>
                </w:p>
              </w:tc>
              <w:tc>
                <w:tcPr>
                  <w:tcW w:w="174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昼间</w:t>
                  </w:r>
                </w:p>
              </w:tc>
              <w:tc>
                <w:tcPr>
                  <w:tcW w:w="174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N1厂界东</w:t>
                  </w:r>
                </w:p>
              </w:tc>
              <w:tc>
                <w:tcPr>
                  <w:tcW w:w="17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50</w:t>
                  </w:r>
                </w:p>
              </w:tc>
              <w:tc>
                <w:tcPr>
                  <w:tcW w:w="174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40</w:t>
                  </w:r>
                </w:p>
              </w:tc>
              <w:tc>
                <w:tcPr>
                  <w:tcW w:w="174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49</w:t>
                  </w:r>
                </w:p>
              </w:tc>
              <w:tc>
                <w:tcPr>
                  <w:tcW w:w="174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N2厂界南</w:t>
                  </w:r>
                </w:p>
              </w:tc>
              <w:tc>
                <w:tcPr>
                  <w:tcW w:w="17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46</w:t>
                  </w:r>
                </w:p>
              </w:tc>
              <w:tc>
                <w:tcPr>
                  <w:tcW w:w="174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37</w:t>
                  </w:r>
                </w:p>
              </w:tc>
              <w:tc>
                <w:tcPr>
                  <w:tcW w:w="174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48</w:t>
                  </w:r>
                </w:p>
              </w:tc>
              <w:tc>
                <w:tcPr>
                  <w:tcW w:w="174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N3厂界西</w:t>
                  </w:r>
                </w:p>
              </w:tc>
              <w:tc>
                <w:tcPr>
                  <w:tcW w:w="17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48</w:t>
                  </w:r>
                </w:p>
              </w:tc>
              <w:tc>
                <w:tcPr>
                  <w:tcW w:w="174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42</w:t>
                  </w:r>
                </w:p>
              </w:tc>
              <w:tc>
                <w:tcPr>
                  <w:tcW w:w="174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49</w:t>
                  </w:r>
                </w:p>
              </w:tc>
              <w:tc>
                <w:tcPr>
                  <w:tcW w:w="174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42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N4厂界北</w:t>
                  </w:r>
                </w:p>
              </w:tc>
              <w:tc>
                <w:tcPr>
                  <w:tcW w:w="17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49</w:t>
                  </w:r>
                </w:p>
              </w:tc>
              <w:tc>
                <w:tcPr>
                  <w:tcW w:w="174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38</w:t>
                  </w:r>
                </w:p>
              </w:tc>
              <w:tc>
                <w:tcPr>
                  <w:tcW w:w="174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50</w:t>
                  </w:r>
                </w:p>
              </w:tc>
              <w:tc>
                <w:tcPr>
                  <w:tcW w:w="174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42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标准限值</w:t>
                  </w:r>
                </w:p>
              </w:tc>
              <w:tc>
                <w:tcPr>
                  <w:tcW w:w="17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60</w:t>
                  </w:r>
                </w:p>
              </w:tc>
              <w:tc>
                <w:tcPr>
                  <w:tcW w:w="174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50</w:t>
                  </w:r>
                </w:p>
              </w:tc>
              <w:tc>
                <w:tcPr>
                  <w:tcW w:w="174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60</w:t>
                  </w:r>
                </w:p>
              </w:tc>
              <w:tc>
                <w:tcPr>
                  <w:tcW w:w="174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评价依据</w:t>
                  </w:r>
                </w:p>
              </w:tc>
              <w:tc>
                <w:tcPr>
                  <w:tcW w:w="6967" w:type="dxa"/>
                  <w:gridSpan w:val="4"/>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《工业企业厂界环境噪声排放标准》（GB12348-2008）2类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备注</w:t>
                  </w:r>
                </w:p>
              </w:tc>
              <w:tc>
                <w:tcPr>
                  <w:tcW w:w="6967" w:type="dxa"/>
                  <w:gridSpan w:val="4"/>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根据《环境噪声监测技术规范噪声测量修正》（HJ706-2014）标准中6.1条规定，厂界噪声测量值低于噪声源排放限值，故未进行背景噪声的测量及修正。</w:t>
                  </w:r>
                </w:p>
              </w:tc>
            </w:tr>
          </w:tbl>
          <w:p>
            <w:pPr>
              <w:keepNext w:val="0"/>
              <w:keepLines w:val="0"/>
              <w:pageBreakBefore w:val="0"/>
              <w:widowControl/>
              <w:kinsoku/>
              <w:wordWrap/>
              <w:overflowPunct/>
              <w:topLinePunct w:val="0"/>
              <w:autoSpaceDE/>
              <w:autoSpaceDN/>
              <w:bidi w:val="0"/>
              <w:adjustRightInd w:val="0"/>
              <w:snapToGrid w:val="0"/>
              <w:spacing w:before="181" w:beforeLines="50"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由上表可知，</w:t>
            </w:r>
            <w:r>
              <w:rPr>
                <w:rFonts w:hint="eastAsia" w:ascii="Times New Roman" w:hAnsi="Times New Roman" w:eastAsia="宋体" w:cs="Times New Roman"/>
                <w:color w:val="000000"/>
                <w:sz w:val="24"/>
                <w:szCs w:val="24"/>
                <w:lang w:eastAsia="zh-CN"/>
              </w:rPr>
              <w:t>措周</w:t>
            </w:r>
            <w:r>
              <w:rPr>
                <w:rFonts w:hint="default" w:ascii="Times New Roman" w:hAnsi="Times New Roman" w:eastAsia="宋体" w:cs="Times New Roman"/>
                <w:color w:val="000000"/>
                <w:sz w:val="24"/>
                <w:szCs w:val="24"/>
              </w:rPr>
              <w:t>乡水厂厂界昼间、夜间噪声监测值均满足《工业企业厂界环境噪声排放标准》</w:t>
            </w:r>
            <w:r>
              <w:rPr>
                <w:rFonts w:hint="eastAsia"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rPr>
              <w:t>GB 12348-2008</w:t>
            </w:r>
            <w:r>
              <w:rPr>
                <w:rFonts w:hint="eastAsia"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rPr>
              <w:t>表1中</w:t>
            </w:r>
            <w:r>
              <w:rPr>
                <w:rFonts w:hint="eastAsia" w:ascii="Times New Roman" w:hAnsi="Times New Roman" w:eastAsia="宋体" w:cs="Times New Roman"/>
                <w:color w:val="000000"/>
                <w:sz w:val="24"/>
                <w:szCs w:val="24"/>
                <w:lang w:val="en-US" w:eastAsia="zh-CN"/>
              </w:rPr>
              <w:t>2</w:t>
            </w:r>
            <w:r>
              <w:rPr>
                <w:rFonts w:hint="default" w:ascii="Times New Roman" w:hAnsi="Times New Roman" w:eastAsia="宋体" w:cs="Times New Roman"/>
                <w:color w:val="000000"/>
                <w:sz w:val="24"/>
                <w:szCs w:val="24"/>
              </w:rPr>
              <w:t>类功能区类别标准限值要求，对周围声环境影响较小。</w:t>
            </w:r>
          </w:p>
        </w:tc>
      </w:tr>
    </w:tbl>
    <w:p>
      <w:pPr>
        <w:spacing w:after="0" w:afterLines="0" w:line="360" w:lineRule="auto"/>
        <w:rPr>
          <w:rFonts w:eastAsia="仿宋_GB2312"/>
          <w:b/>
          <w:color w:val="000000"/>
          <w:sz w:val="21"/>
          <w:szCs w:val="21"/>
        </w:rPr>
        <w:sectPr>
          <w:pgSz w:w="11906" w:h="16838"/>
          <w:pgMar w:top="1440" w:right="1800" w:bottom="1440" w:left="1800" w:header="708" w:footer="708" w:gutter="0"/>
          <w:pgBorders>
            <w:top w:val="none" w:sz="0" w:space="0"/>
            <w:left w:val="none" w:sz="0" w:space="0"/>
            <w:bottom w:val="none" w:sz="0" w:space="0"/>
            <w:right w:val="none" w:sz="0" w:space="0"/>
          </w:pgBorders>
          <w:pgNumType w:fmt="decimal"/>
          <w:cols w:space="720" w:num="1"/>
          <w:docGrid w:linePitch="360" w:charSpace="0"/>
        </w:sectPr>
      </w:pPr>
    </w:p>
    <w:p>
      <w:pPr>
        <w:spacing w:after="0" w:afterLines="0" w:line="360" w:lineRule="auto"/>
        <w:rPr>
          <w:rFonts w:hint="eastAsia" w:eastAsia="仿宋_GB2312"/>
          <w:b/>
          <w:color w:val="000000"/>
          <w:sz w:val="24"/>
          <w:szCs w:val="24"/>
        </w:rPr>
      </w:pPr>
      <w:r>
        <w:rPr>
          <w:rFonts w:eastAsia="仿宋_GB2312"/>
          <w:b/>
          <w:color w:val="000000"/>
          <w:sz w:val="24"/>
          <w:szCs w:val="24"/>
        </w:rPr>
        <w:t>表</w:t>
      </w:r>
      <w:r>
        <w:rPr>
          <w:rFonts w:hint="eastAsia" w:eastAsia="仿宋_GB2312"/>
          <w:b/>
          <w:color w:val="000000"/>
          <w:sz w:val="24"/>
          <w:szCs w:val="24"/>
        </w:rPr>
        <w:t>八</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4" w:hRule="atLeast"/>
          <w:jc w:val="center"/>
        </w:trPr>
        <w:tc>
          <w:tcPr>
            <w:tcW w:w="8924" w:type="dxa"/>
            <w:noWrap w:val="0"/>
            <w:vAlign w:val="top"/>
          </w:tcPr>
          <w:p>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楷体" w:cs="Times New Roman"/>
                <w:b/>
                <w:bCs/>
                <w:color w:val="000000"/>
                <w:sz w:val="28"/>
                <w:szCs w:val="28"/>
                <w:lang w:eastAsia="zh-CN"/>
              </w:rPr>
            </w:pPr>
            <w:r>
              <w:rPr>
                <w:rFonts w:hint="default" w:ascii="Times New Roman" w:hAnsi="Times New Roman" w:eastAsia="楷体" w:cs="Times New Roman"/>
                <w:b/>
                <w:bCs/>
                <w:color w:val="000000"/>
                <w:sz w:val="28"/>
                <w:szCs w:val="28"/>
                <w:lang w:val="en-US" w:eastAsia="zh-CN"/>
              </w:rPr>
              <w:t xml:space="preserve">8.1 </w:t>
            </w:r>
            <w:r>
              <w:rPr>
                <w:rFonts w:hint="default" w:ascii="Times New Roman" w:hAnsi="Times New Roman" w:eastAsia="楷体" w:cs="Times New Roman"/>
                <w:b/>
                <w:bCs/>
                <w:color w:val="000000"/>
                <w:sz w:val="28"/>
                <w:szCs w:val="28"/>
                <w:lang w:eastAsia="zh-CN"/>
              </w:rPr>
              <w:t>验收监测结论：</w:t>
            </w:r>
          </w:p>
          <w:p>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楷体" w:cs="Times New Roman"/>
                <w:b/>
                <w:bCs/>
                <w:color w:val="000000"/>
                <w:sz w:val="28"/>
                <w:szCs w:val="28"/>
                <w:lang w:eastAsia="zh-CN"/>
              </w:rPr>
            </w:pPr>
            <w:r>
              <w:rPr>
                <w:rFonts w:hint="default" w:ascii="Times New Roman" w:hAnsi="Times New Roman" w:eastAsia="楷体" w:cs="Times New Roman"/>
                <w:b/>
                <w:bCs/>
                <w:color w:val="000000"/>
                <w:sz w:val="28"/>
                <w:szCs w:val="28"/>
                <w:lang w:eastAsia="zh-CN"/>
              </w:rPr>
              <w:t>8.1.1 项目概况</w:t>
            </w:r>
          </w:p>
          <w:p>
            <w:pPr>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val="en-US" w:eastAsia="zh-CN"/>
              </w:rPr>
              <w:t>黄南州尖扎县措周乡净化水厂建设</w:t>
            </w:r>
            <w:r>
              <w:rPr>
                <w:rFonts w:hint="default" w:ascii="Times New Roman" w:hAnsi="Times New Roman" w:eastAsia="宋体" w:cs="Times New Roman"/>
                <w:color w:val="000000"/>
                <w:sz w:val="24"/>
                <w:szCs w:val="24"/>
              </w:rPr>
              <w:t>项目</w:t>
            </w:r>
            <w:r>
              <w:rPr>
                <w:rFonts w:hint="default" w:ascii="Times New Roman" w:hAnsi="Times New Roman" w:eastAsia="宋体" w:cs="Times New Roman"/>
                <w:color w:val="000000"/>
                <w:sz w:val="24"/>
                <w:szCs w:val="24"/>
                <w:lang w:val="en-US" w:eastAsia="zh-CN"/>
              </w:rPr>
              <w:t>水厂</w:t>
            </w:r>
            <w:r>
              <w:rPr>
                <w:rFonts w:hint="default" w:ascii="Times New Roman" w:hAnsi="Times New Roman" w:eastAsia="宋体" w:cs="Times New Roman"/>
                <w:color w:val="000000"/>
                <w:sz w:val="24"/>
                <w:szCs w:val="24"/>
              </w:rPr>
              <w:t>位于尖扎县措周乡那卡村，工程主要建设内容：新建200t预沉池1座，集成一体化水厂1座，建设用地总面积549.4m</w:t>
            </w:r>
            <w:r>
              <w:rPr>
                <w:rFonts w:hint="default" w:ascii="Times New Roman" w:hAnsi="Times New Roman" w:eastAsia="宋体" w:cs="Times New Roman"/>
                <w:color w:val="000000"/>
                <w:sz w:val="24"/>
                <w:szCs w:val="24"/>
                <w:vertAlign w:val="superscript"/>
              </w:rPr>
              <w:t>2</w:t>
            </w:r>
            <w:r>
              <w:rPr>
                <w:rFonts w:hint="default" w:ascii="Times New Roman" w:hAnsi="Times New Roman" w:eastAsia="宋体" w:cs="Times New Roman"/>
                <w:color w:val="000000"/>
                <w:sz w:val="24"/>
                <w:szCs w:val="24"/>
              </w:rPr>
              <w:t>（其中，建筑物用地面积221.8m</w:t>
            </w:r>
            <w:r>
              <w:rPr>
                <w:rFonts w:hint="default" w:ascii="Times New Roman" w:hAnsi="Times New Roman" w:eastAsia="宋体" w:cs="Times New Roman"/>
                <w:color w:val="000000"/>
                <w:sz w:val="24"/>
                <w:szCs w:val="24"/>
                <w:vertAlign w:val="superscript"/>
              </w:rPr>
              <w:t>2</w:t>
            </w:r>
            <w:r>
              <w:rPr>
                <w:rFonts w:hint="default" w:ascii="Times New Roman" w:hAnsi="Times New Roman" w:eastAsia="宋体" w:cs="Times New Roman"/>
                <w:color w:val="000000"/>
                <w:sz w:val="24"/>
                <w:szCs w:val="24"/>
              </w:rPr>
              <w:t>，绿化用地面积119.0m</w:t>
            </w:r>
            <w:r>
              <w:rPr>
                <w:rFonts w:hint="default" w:ascii="Times New Roman" w:hAnsi="Times New Roman" w:eastAsia="宋体" w:cs="Times New Roman"/>
                <w:color w:val="000000"/>
                <w:sz w:val="24"/>
                <w:szCs w:val="24"/>
                <w:vertAlign w:val="superscript"/>
              </w:rPr>
              <w:t>2</w:t>
            </w:r>
            <w:r>
              <w:rPr>
                <w:rFonts w:hint="default" w:ascii="Times New Roman" w:hAnsi="Times New Roman" w:eastAsia="宋体" w:cs="Times New Roman"/>
                <w:color w:val="000000"/>
                <w:sz w:val="24"/>
                <w:szCs w:val="24"/>
              </w:rPr>
              <w:t>，厂内地坪208.6m</w:t>
            </w:r>
            <w:r>
              <w:rPr>
                <w:rFonts w:hint="default" w:ascii="Times New Roman" w:hAnsi="Times New Roman" w:eastAsia="宋体" w:cs="Times New Roman"/>
                <w:color w:val="000000"/>
                <w:sz w:val="24"/>
                <w:szCs w:val="24"/>
                <w:vertAlign w:val="superscript"/>
              </w:rPr>
              <w:t>2</w:t>
            </w:r>
            <w:r>
              <w:rPr>
                <w:rFonts w:hint="default" w:ascii="Times New Roman" w:hAnsi="Times New Roman" w:eastAsia="宋体" w:cs="Times New Roman"/>
                <w:color w:val="000000"/>
                <w:sz w:val="24"/>
                <w:szCs w:val="24"/>
              </w:rPr>
              <w:t>），院落围墙95m，场外道路10m。新建150t清水池1座，闸室1座，分水井2座，铺设Φ225PE100引水管道199m、Φ225PE100溢流管125m，Φ400钢带增强聚乙烯螺旋波纹排水管道507m。工程总投资</w:t>
            </w:r>
            <w:r>
              <w:rPr>
                <w:rFonts w:hint="eastAsia" w:ascii="Times New Roman" w:hAnsi="Times New Roman" w:eastAsia="宋体" w:cs="Times New Roman"/>
                <w:color w:val="000000"/>
                <w:sz w:val="24"/>
                <w:szCs w:val="24"/>
                <w:lang w:val="en-US" w:eastAsia="zh-CN"/>
              </w:rPr>
              <w:t>478.44</w:t>
            </w:r>
            <w:r>
              <w:rPr>
                <w:rFonts w:hint="default" w:ascii="Times New Roman" w:hAnsi="Times New Roman" w:eastAsia="宋体" w:cs="Times New Roman"/>
                <w:color w:val="000000"/>
                <w:sz w:val="24"/>
                <w:szCs w:val="24"/>
              </w:rPr>
              <w:t>万元，环保投资</w:t>
            </w:r>
            <w:r>
              <w:rPr>
                <w:rFonts w:hint="eastAsia" w:ascii="Times New Roman" w:hAnsi="Times New Roman" w:eastAsia="宋体" w:cs="Times New Roman"/>
                <w:color w:val="000000"/>
                <w:sz w:val="24"/>
                <w:szCs w:val="24"/>
                <w:lang w:val="en-US" w:eastAsia="zh-CN"/>
              </w:rPr>
              <w:t>10</w:t>
            </w:r>
            <w:r>
              <w:rPr>
                <w:rFonts w:hint="default" w:ascii="Times New Roman" w:hAnsi="Times New Roman" w:eastAsia="宋体" w:cs="Times New Roman"/>
                <w:color w:val="000000"/>
                <w:sz w:val="24"/>
                <w:szCs w:val="24"/>
              </w:rPr>
              <w:t>万元，环保投资占比</w:t>
            </w:r>
            <w:r>
              <w:rPr>
                <w:rFonts w:hint="eastAsia" w:ascii="Times New Roman" w:hAnsi="Times New Roman" w:eastAsia="宋体" w:cs="Times New Roman"/>
                <w:color w:val="000000"/>
                <w:sz w:val="24"/>
                <w:szCs w:val="24"/>
                <w:lang w:val="en-US" w:eastAsia="zh-CN"/>
              </w:rPr>
              <w:t>2.09</w:t>
            </w:r>
            <w:r>
              <w:rPr>
                <w:rFonts w:hint="default" w:ascii="Times New Roman" w:hAnsi="Times New Roman" w:eastAsia="宋体" w:cs="Times New Roman"/>
                <w:color w:val="000000"/>
                <w:sz w:val="24"/>
                <w:szCs w:val="24"/>
              </w:rPr>
              <w:t>%。</w:t>
            </w:r>
          </w:p>
          <w:p>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楷体" w:cs="Times New Roman"/>
                <w:b/>
                <w:bCs/>
                <w:color w:val="000000"/>
                <w:sz w:val="28"/>
                <w:szCs w:val="28"/>
                <w:lang w:eastAsia="zh-CN"/>
              </w:rPr>
            </w:pPr>
            <w:r>
              <w:rPr>
                <w:rFonts w:hint="default" w:ascii="Times New Roman" w:hAnsi="Times New Roman" w:eastAsia="楷体" w:cs="Times New Roman"/>
                <w:b/>
                <w:bCs/>
                <w:color w:val="000000"/>
                <w:sz w:val="28"/>
                <w:szCs w:val="28"/>
                <w:lang w:eastAsia="zh-CN"/>
              </w:rPr>
              <w:t>8.1.2 建设过程及环保审批情况</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（1）20</w:t>
            </w:r>
            <w:r>
              <w:rPr>
                <w:rFonts w:hint="default" w:ascii="Times New Roman" w:hAnsi="Times New Roman" w:eastAsia="宋体" w:cs="Times New Roman"/>
                <w:color w:val="000000"/>
                <w:sz w:val="24"/>
                <w:szCs w:val="24"/>
                <w:lang w:val="en-US" w:eastAsia="zh-CN"/>
              </w:rPr>
              <w:t>21</w:t>
            </w:r>
            <w:r>
              <w:rPr>
                <w:rFonts w:hint="default" w:ascii="Times New Roman" w:hAnsi="Times New Roman" w:eastAsia="宋体" w:cs="Times New Roman"/>
                <w:color w:val="000000"/>
                <w:sz w:val="24"/>
                <w:szCs w:val="24"/>
              </w:rPr>
              <w:t>年</w:t>
            </w:r>
            <w:r>
              <w:rPr>
                <w:rFonts w:hint="default" w:ascii="Times New Roman" w:hAnsi="Times New Roman" w:eastAsia="宋体" w:cs="Times New Roman"/>
                <w:color w:val="000000"/>
                <w:sz w:val="24"/>
                <w:szCs w:val="24"/>
                <w:lang w:val="en-US" w:eastAsia="zh-CN"/>
              </w:rPr>
              <w:t>10</w:t>
            </w:r>
            <w:r>
              <w:rPr>
                <w:rFonts w:hint="default" w:ascii="Times New Roman" w:hAnsi="Times New Roman" w:eastAsia="宋体" w:cs="Times New Roman"/>
                <w:color w:val="000000"/>
                <w:sz w:val="24"/>
                <w:szCs w:val="24"/>
              </w:rPr>
              <w:t>月</w:t>
            </w:r>
            <w:r>
              <w:rPr>
                <w:rFonts w:hint="default" w:ascii="Times New Roman" w:hAnsi="Times New Roman" w:eastAsia="宋体" w:cs="Times New Roman"/>
                <w:color w:val="000000"/>
                <w:sz w:val="24"/>
                <w:szCs w:val="24"/>
                <w:lang w:val="en-US" w:eastAsia="zh-CN"/>
              </w:rPr>
              <w:t>29</w:t>
            </w:r>
            <w:r>
              <w:rPr>
                <w:rFonts w:hint="default" w:ascii="Times New Roman" w:hAnsi="Times New Roman" w:eastAsia="宋体" w:cs="Times New Roman"/>
                <w:color w:val="000000"/>
                <w:sz w:val="24"/>
                <w:szCs w:val="24"/>
              </w:rPr>
              <w:t>日，尖扎县发展和改革局以《关于</w:t>
            </w:r>
            <w:r>
              <w:rPr>
                <w:rFonts w:hint="default" w:ascii="Times New Roman" w:hAnsi="Times New Roman" w:eastAsia="宋体" w:cs="Times New Roman"/>
                <w:color w:val="000000"/>
                <w:sz w:val="24"/>
                <w:szCs w:val="24"/>
                <w:lang w:val="en-US" w:eastAsia="zh-CN"/>
              </w:rPr>
              <w:t>黄南州尖扎县措周乡净化水厂建设项目实施方案</w:t>
            </w:r>
            <w:r>
              <w:rPr>
                <w:rFonts w:hint="default" w:ascii="Times New Roman" w:hAnsi="Times New Roman" w:eastAsia="宋体" w:cs="Times New Roman"/>
                <w:color w:val="000000"/>
                <w:sz w:val="24"/>
                <w:szCs w:val="24"/>
              </w:rPr>
              <w:t>的批复》（尖发改字[2021]19</w:t>
            </w:r>
            <w:r>
              <w:rPr>
                <w:rFonts w:hint="default" w:ascii="Times New Roman" w:hAnsi="Times New Roman" w:eastAsia="宋体" w:cs="Times New Roman"/>
                <w:color w:val="000000"/>
                <w:sz w:val="24"/>
                <w:szCs w:val="24"/>
                <w:lang w:val="en-US" w:eastAsia="zh-CN"/>
              </w:rPr>
              <w:t>1</w:t>
            </w:r>
            <w:r>
              <w:rPr>
                <w:rFonts w:hint="default" w:ascii="Times New Roman" w:hAnsi="Times New Roman" w:eastAsia="宋体" w:cs="Times New Roman"/>
                <w:color w:val="000000"/>
                <w:sz w:val="24"/>
                <w:szCs w:val="24"/>
              </w:rPr>
              <w:t>号</w:t>
            </w: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rPr>
              <w:t>对本工程</w:t>
            </w:r>
            <w:r>
              <w:rPr>
                <w:rFonts w:hint="default" w:ascii="Times New Roman" w:hAnsi="Times New Roman" w:eastAsia="宋体" w:cs="Times New Roman"/>
                <w:color w:val="000000"/>
                <w:sz w:val="24"/>
                <w:szCs w:val="24"/>
                <w:lang w:val="en-US" w:eastAsia="zh-CN"/>
              </w:rPr>
              <w:t>实施方案</w:t>
            </w:r>
            <w:r>
              <w:rPr>
                <w:rFonts w:hint="default" w:ascii="Times New Roman" w:hAnsi="Times New Roman" w:eastAsia="宋体" w:cs="Times New Roman"/>
                <w:color w:val="000000"/>
                <w:sz w:val="24"/>
                <w:szCs w:val="24"/>
              </w:rPr>
              <w:t>予以批复。</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（2）20</w:t>
            </w:r>
            <w:r>
              <w:rPr>
                <w:rFonts w:hint="default" w:ascii="Times New Roman" w:hAnsi="Times New Roman" w:eastAsia="宋体" w:cs="Times New Roman"/>
                <w:color w:val="000000"/>
                <w:sz w:val="24"/>
                <w:szCs w:val="24"/>
                <w:lang w:val="en-US" w:eastAsia="zh-CN"/>
              </w:rPr>
              <w:t>21</w:t>
            </w:r>
            <w:r>
              <w:rPr>
                <w:rFonts w:hint="default" w:ascii="Times New Roman" w:hAnsi="Times New Roman" w:eastAsia="宋体" w:cs="Times New Roman"/>
                <w:color w:val="000000"/>
                <w:sz w:val="24"/>
                <w:szCs w:val="24"/>
              </w:rPr>
              <w:t>年</w:t>
            </w:r>
            <w:r>
              <w:rPr>
                <w:rFonts w:hint="default" w:ascii="Times New Roman" w:hAnsi="Times New Roman" w:eastAsia="宋体" w:cs="Times New Roman"/>
                <w:color w:val="000000"/>
                <w:sz w:val="24"/>
                <w:szCs w:val="24"/>
                <w:lang w:val="en-US" w:eastAsia="zh-CN"/>
              </w:rPr>
              <w:t>12</w:t>
            </w:r>
            <w:r>
              <w:rPr>
                <w:rFonts w:hint="default" w:ascii="Times New Roman" w:hAnsi="Times New Roman" w:eastAsia="宋体" w:cs="Times New Roman"/>
                <w:color w:val="000000"/>
                <w:sz w:val="24"/>
                <w:szCs w:val="24"/>
              </w:rPr>
              <w:t>月，青海浩诚环保工程有限公司编制完成《</w:t>
            </w:r>
            <w:r>
              <w:rPr>
                <w:rFonts w:hint="default" w:ascii="Times New Roman" w:hAnsi="Times New Roman" w:eastAsia="宋体" w:cs="Times New Roman"/>
                <w:color w:val="000000"/>
                <w:sz w:val="24"/>
                <w:szCs w:val="24"/>
                <w:lang w:val="en-US" w:eastAsia="zh-CN"/>
              </w:rPr>
              <w:t>黄南州尖扎县措周乡净化水厂建设项目</w:t>
            </w:r>
            <w:r>
              <w:rPr>
                <w:rFonts w:hint="default" w:ascii="Times New Roman" w:hAnsi="Times New Roman" w:eastAsia="宋体" w:cs="Times New Roman"/>
                <w:color w:val="000000"/>
                <w:sz w:val="24"/>
                <w:szCs w:val="24"/>
              </w:rPr>
              <w:t>环境影响报告表》。</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（3）20</w:t>
            </w:r>
            <w:r>
              <w:rPr>
                <w:rFonts w:hint="default" w:ascii="Times New Roman" w:hAnsi="Times New Roman" w:eastAsia="宋体" w:cs="Times New Roman"/>
                <w:color w:val="000000"/>
                <w:sz w:val="24"/>
                <w:szCs w:val="24"/>
                <w:lang w:val="en-US" w:eastAsia="zh-CN"/>
              </w:rPr>
              <w:t>22</w:t>
            </w:r>
            <w:r>
              <w:rPr>
                <w:rFonts w:hint="default" w:ascii="Times New Roman" w:hAnsi="Times New Roman" w:eastAsia="宋体" w:cs="Times New Roman"/>
                <w:color w:val="000000"/>
                <w:sz w:val="24"/>
                <w:szCs w:val="24"/>
              </w:rPr>
              <w:t>年</w:t>
            </w:r>
            <w:r>
              <w:rPr>
                <w:rFonts w:hint="default" w:ascii="Times New Roman" w:hAnsi="Times New Roman" w:eastAsia="宋体" w:cs="Times New Roman"/>
                <w:color w:val="000000"/>
                <w:sz w:val="24"/>
                <w:szCs w:val="24"/>
                <w:lang w:val="en-US" w:eastAsia="zh-CN"/>
              </w:rPr>
              <w:t>1</w:t>
            </w:r>
            <w:r>
              <w:rPr>
                <w:rFonts w:hint="default" w:ascii="Times New Roman" w:hAnsi="Times New Roman" w:eastAsia="宋体" w:cs="Times New Roman"/>
                <w:color w:val="000000"/>
                <w:sz w:val="24"/>
                <w:szCs w:val="24"/>
              </w:rPr>
              <w:t>月</w:t>
            </w:r>
            <w:r>
              <w:rPr>
                <w:rFonts w:hint="default" w:ascii="Times New Roman" w:hAnsi="Times New Roman" w:eastAsia="宋体" w:cs="Times New Roman"/>
                <w:color w:val="000000"/>
                <w:sz w:val="24"/>
                <w:szCs w:val="24"/>
                <w:lang w:val="en-US" w:eastAsia="zh-CN"/>
              </w:rPr>
              <w:t>6</w:t>
            </w:r>
            <w:r>
              <w:rPr>
                <w:rFonts w:hint="default" w:ascii="Times New Roman" w:hAnsi="Times New Roman" w:eastAsia="宋体" w:cs="Times New Roman"/>
                <w:color w:val="000000"/>
                <w:sz w:val="24"/>
                <w:szCs w:val="24"/>
              </w:rPr>
              <w:t>日，</w:t>
            </w:r>
            <w:r>
              <w:rPr>
                <w:rFonts w:hint="default" w:ascii="Times New Roman" w:hAnsi="Times New Roman" w:eastAsia="宋体" w:cs="Times New Roman"/>
                <w:color w:val="000000"/>
                <w:sz w:val="24"/>
                <w:szCs w:val="24"/>
                <w:lang w:val="en-US" w:eastAsia="zh-CN"/>
              </w:rPr>
              <w:t>黄南州</w:t>
            </w:r>
            <w:r>
              <w:rPr>
                <w:rFonts w:hint="default" w:ascii="Times New Roman" w:hAnsi="Times New Roman" w:eastAsia="宋体" w:cs="Times New Roman"/>
                <w:color w:val="000000"/>
                <w:sz w:val="24"/>
                <w:szCs w:val="24"/>
              </w:rPr>
              <w:t>生态环境局以</w:t>
            </w: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lang w:val="en-US" w:eastAsia="zh-CN"/>
              </w:rPr>
              <w:t>黄生发</w:t>
            </w:r>
            <w:r>
              <w:rPr>
                <w:rFonts w:hint="default" w:ascii="Times New Roman" w:hAnsi="Times New Roman" w:eastAsia="宋体" w:cs="Times New Roman"/>
                <w:color w:val="000000"/>
                <w:sz w:val="24"/>
                <w:szCs w:val="24"/>
              </w:rPr>
              <w:t>[202</w:t>
            </w:r>
            <w:r>
              <w:rPr>
                <w:rFonts w:hint="default" w:ascii="Times New Roman" w:hAnsi="Times New Roman" w:eastAsia="宋体" w:cs="Times New Roman"/>
                <w:color w:val="000000"/>
                <w:sz w:val="24"/>
                <w:szCs w:val="24"/>
                <w:lang w:val="en-US" w:eastAsia="zh-CN"/>
              </w:rPr>
              <w:t>2</w:t>
            </w:r>
            <w:r>
              <w:rPr>
                <w:rFonts w:hint="default" w:ascii="Times New Roman" w:hAnsi="Times New Roman" w:eastAsia="宋体" w:cs="Times New Roman"/>
                <w:color w:val="000000"/>
                <w:sz w:val="24"/>
                <w:szCs w:val="24"/>
              </w:rPr>
              <w:t>]</w:t>
            </w:r>
            <w:r>
              <w:rPr>
                <w:rFonts w:hint="default" w:ascii="Times New Roman" w:hAnsi="Times New Roman" w:eastAsia="宋体" w:cs="Times New Roman"/>
                <w:color w:val="000000"/>
                <w:sz w:val="24"/>
                <w:szCs w:val="24"/>
                <w:lang w:val="en-US" w:eastAsia="zh-CN"/>
              </w:rPr>
              <w:t>5</w:t>
            </w:r>
            <w:r>
              <w:rPr>
                <w:rFonts w:hint="default" w:ascii="Times New Roman" w:hAnsi="Times New Roman" w:eastAsia="宋体" w:cs="Times New Roman"/>
                <w:color w:val="000000"/>
                <w:sz w:val="24"/>
                <w:szCs w:val="24"/>
              </w:rPr>
              <w:t>号</w:t>
            </w: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rPr>
              <w:t>对该项目予以批准。</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（4）2022年</w:t>
            </w:r>
            <w:r>
              <w:rPr>
                <w:rFonts w:hint="eastAsia"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rPr>
              <w:t>月</w:t>
            </w:r>
            <w:r>
              <w:rPr>
                <w:rFonts w:hint="eastAsia"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rPr>
              <w:t>0日开工建设。</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（5）2022年</w:t>
            </w:r>
            <w:r>
              <w:rPr>
                <w:rFonts w:hint="eastAsia" w:ascii="Times New Roman" w:hAnsi="Times New Roman" w:eastAsia="宋体" w:cs="Times New Roman"/>
                <w:color w:val="auto"/>
                <w:sz w:val="24"/>
                <w:szCs w:val="24"/>
                <w:lang w:val="en-US" w:eastAsia="zh-CN"/>
              </w:rPr>
              <w:t>8</w:t>
            </w:r>
            <w:r>
              <w:rPr>
                <w:rFonts w:hint="default" w:ascii="Times New Roman" w:hAnsi="Times New Roman" w:eastAsia="宋体" w:cs="Times New Roman"/>
                <w:color w:val="auto"/>
                <w:sz w:val="24"/>
                <w:szCs w:val="24"/>
              </w:rPr>
              <w:t>月</w:t>
            </w:r>
            <w:r>
              <w:rPr>
                <w:rFonts w:hint="eastAsia" w:ascii="Times New Roman" w:hAnsi="Times New Roman" w:eastAsia="宋体" w:cs="Times New Roman"/>
                <w:color w:val="auto"/>
                <w:sz w:val="24"/>
                <w:szCs w:val="24"/>
                <w:lang w:val="en-US" w:eastAsia="zh-CN"/>
              </w:rPr>
              <w:t>10</w:t>
            </w:r>
            <w:r>
              <w:rPr>
                <w:rFonts w:hint="default" w:ascii="Times New Roman" w:hAnsi="Times New Roman" w:eastAsia="宋体" w:cs="Times New Roman"/>
                <w:color w:val="auto"/>
                <w:sz w:val="24"/>
                <w:szCs w:val="24"/>
              </w:rPr>
              <w:t>日完工。</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（6）202</w:t>
            </w:r>
            <w:r>
              <w:rPr>
                <w:rFonts w:hint="eastAsia"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lang w:val="en-US" w:eastAsia="zh-CN"/>
              </w:rPr>
              <w:t>9</w:t>
            </w:r>
            <w:r>
              <w:rPr>
                <w:rFonts w:hint="default" w:ascii="Times New Roman" w:hAnsi="Times New Roman" w:eastAsia="宋体" w:cs="Times New Roman"/>
                <w:color w:val="auto"/>
                <w:sz w:val="24"/>
                <w:szCs w:val="24"/>
              </w:rPr>
              <w:t>月，尖扎县水利局启动竣工环境保护验收工作。</w:t>
            </w:r>
          </w:p>
          <w:p>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楷体" w:cs="Times New Roman"/>
                <w:b/>
                <w:bCs/>
                <w:color w:val="000000"/>
                <w:sz w:val="28"/>
                <w:szCs w:val="28"/>
                <w:lang w:eastAsia="zh-CN"/>
              </w:rPr>
            </w:pPr>
            <w:r>
              <w:rPr>
                <w:rFonts w:hint="default" w:ascii="Times New Roman" w:hAnsi="Times New Roman" w:eastAsia="楷体" w:cs="Times New Roman"/>
                <w:b/>
                <w:bCs/>
                <w:color w:val="000000"/>
                <w:sz w:val="28"/>
                <w:szCs w:val="28"/>
                <w:lang w:eastAsia="zh-CN"/>
              </w:rPr>
              <w:t>8.1.3 项目变更情况</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根据现场勘察，并对照《</w:t>
            </w:r>
            <w:r>
              <w:rPr>
                <w:rFonts w:hint="default" w:ascii="Times New Roman" w:hAnsi="Times New Roman" w:eastAsia="宋体" w:cs="Times New Roman"/>
                <w:color w:val="000000"/>
                <w:sz w:val="24"/>
                <w:szCs w:val="24"/>
                <w:lang w:val="en-US" w:eastAsia="zh-CN"/>
              </w:rPr>
              <w:t>黄南州尖扎县措周乡净化水厂建设项目</w:t>
            </w:r>
            <w:r>
              <w:rPr>
                <w:rFonts w:hint="default" w:ascii="Times New Roman" w:hAnsi="Times New Roman" w:eastAsia="宋体" w:cs="Times New Roman"/>
                <w:color w:val="000000"/>
                <w:sz w:val="24"/>
                <w:szCs w:val="24"/>
              </w:rPr>
              <w:t>环境影响报告表》及批复文件，工程实际建设内容与环评阶段比较，项目无变动情况。</w:t>
            </w:r>
          </w:p>
          <w:p>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楷体" w:cs="Times New Roman"/>
                <w:b/>
                <w:bCs/>
                <w:color w:val="000000"/>
                <w:sz w:val="28"/>
                <w:szCs w:val="28"/>
                <w:lang w:eastAsia="zh-CN"/>
              </w:rPr>
            </w:pPr>
            <w:r>
              <w:rPr>
                <w:rFonts w:hint="default" w:ascii="Times New Roman" w:hAnsi="Times New Roman" w:eastAsia="楷体" w:cs="Times New Roman"/>
                <w:b/>
                <w:bCs/>
                <w:color w:val="000000"/>
                <w:sz w:val="28"/>
                <w:szCs w:val="28"/>
                <w:lang w:eastAsia="zh-CN"/>
              </w:rPr>
              <w:t>8.2 环保设施落实情况</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（1）废气治理措施</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本项目运营期不产生废气。</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（2）废水治理措施</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本项目运营期主要包括净水厂重力式无阀滤池反冲洗产生的废水以及工作人员产生的生活污水。反冲洗废水中的主要物质除含无机物和生产过程中投加的少量混凝剂外，无其它有害物质，主要污染物为SS。</w:t>
            </w:r>
            <w:r>
              <w:rPr>
                <w:rFonts w:hint="eastAsia" w:ascii="Times New Roman" w:hAnsi="Times New Roman" w:eastAsia="宋体" w:cs="Times New Roman"/>
                <w:color w:val="auto"/>
                <w:sz w:val="24"/>
                <w:szCs w:val="24"/>
                <w:lang w:val="en-US" w:eastAsia="zh-CN"/>
              </w:rPr>
              <w:t>反冲洗废水经回用水调节池沉淀处理进入</w:t>
            </w:r>
            <w:r>
              <w:rPr>
                <w:rFonts w:hint="default" w:ascii="Times New Roman" w:hAnsi="Times New Roman" w:eastAsia="宋体" w:cs="Times New Roman"/>
                <w:color w:val="auto"/>
                <w:sz w:val="24"/>
                <w:szCs w:val="24"/>
                <w:lang w:val="en-US" w:eastAsia="zh-CN"/>
              </w:rPr>
              <w:t>反冲洗集水井</w:t>
            </w:r>
            <w:r>
              <w:rPr>
                <w:rFonts w:hint="eastAsia" w:ascii="Times New Roman" w:hAnsi="Times New Roman" w:eastAsia="宋体" w:cs="Times New Roman"/>
                <w:color w:val="auto"/>
                <w:sz w:val="24"/>
                <w:szCs w:val="24"/>
                <w:lang w:val="en-US" w:eastAsia="zh-CN"/>
              </w:rPr>
              <w:t>回用</w:t>
            </w:r>
            <w:r>
              <w:rPr>
                <w:rFonts w:hint="default" w:ascii="Times New Roman" w:hAnsi="Times New Roman" w:eastAsia="宋体" w:cs="Times New Roman"/>
                <w:color w:val="auto"/>
                <w:sz w:val="24"/>
                <w:szCs w:val="24"/>
                <w:lang w:val="en-US" w:eastAsia="zh-CN"/>
              </w:rPr>
              <w:t>，不外排；沉淀池排泥水首先进入排泥水调节池，然后排入泥沙处理间，经机械浓缩处理，上清液用于厂区绿化</w:t>
            </w:r>
            <w:r>
              <w:rPr>
                <w:rFonts w:hint="eastAsia" w:ascii="Times New Roman" w:hAnsi="Times New Roman" w:eastAsia="宋体" w:cs="Times New Roman"/>
                <w:color w:val="auto"/>
                <w:sz w:val="24"/>
                <w:szCs w:val="24"/>
                <w:lang w:eastAsia="zh-CN"/>
              </w:rPr>
              <w:t>；生活污水经化粪池处理后用作农肥，不外排。</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（3）噪声治理措施</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000000"/>
                <w:sz w:val="24"/>
                <w:szCs w:val="24"/>
              </w:rPr>
              <w:t>本项目噪声源主要为生产设备</w:t>
            </w:r>
            <w:r>
              <w:rPr>
                <w:rFonts w:hint="default" w:ascii="Times New Roman" w:hAnsi="Times New Roman" w:eastAsia="宋体" w:cs="Times New Roman"/>
                <w:color w:val="auto"/>
                <w:sz w:val="24"/>
                <w:szCs w:val="24"/>
              </w:rPr>
              <w:t>产生的噪声，采用低噪声水泵，采取基础减震、水下隔声和墙体隔声等降噪措施。根据监测结果表明：</w:t>
            </w:r>
            <w:r>
              <w:rPr>
                <w:rFonts w:hint="eastAsia" w:ascii="Times New Roman" w:hAnsi="Times New Roman" w:eastAsia="宋体" w:cs="Times New Roman"/>
                <w:color w:val="auto"/>
                <w:sz w:val="24"/>
                <w:szCs w:val="24"/>
                <w:lang w:val="en-US" w:eastAsia="zh-CN"/>
              </w:rPr>
              <w:t>措周</w:t>
            </w:r>
            <w:r>
              <w:rPr>
                <w:rFonts w:hint="default" w:ascii="Times New Roman" w:hAnsi="Times New Roman" w:eastAsia="宋体" w:cs="Times New Roman"/>
                <w:color w:val="auto"/>
                <w:sz w:val="24"/>
                <w:szCs w:val="24"/>
              </w:rPr>
              <w:t>乡水厂厂界昼间、夜间噪声结果均满足《工业企业厂界环境噪声排放标准》</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GB 12348-2008</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表1中</w:t>
            </w:r>
            <w:r>
              <w:rPr>
                <w:rFonts w:hint="eastAsia"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类功能区类别标准限值要求。</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（4）固体治理措施</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本项目运营期产生的固体废物主要包括</w:t>
            </w:r>
            <w:r>
              <w:rPr>
                <w:rFonts w:hint="default" w:ascii="Times New Roman" w:hAnsi="Times New Roman" w:eastAsia="宋体" w:cs="Times New Roman"/>
                <w:color w:val="000000"/>
                <w:sz w:val="24"/>
                <w:szCs w:val="24"/>
                <w:lang w:val="en-US" w:eastAsia="zh-CN"/>
              </w:rPr>
              <w:t>集成（一体化）净水设备所排污泥</w:t>
            </w:r>
            <w:r>
              <w:rPr>
                <w:rFonts w:hint="default" w:ascii="Times New Roman" w:hAnsi="Times New Roman" w:eastAsia="宋体" w:cs="Times New Roman"/>
                <w:color w:val="000000"/>
                <w:sz w:val="24"/>
                <w:szCs w:val="24"/>
              </w:rPr>
              <w:t>和生活垃圾。净水厂内设垃圾桶，</w:t>
            </w:r>
            <w:r>
              <w:rPr>
                <w:rFonts w:hint="default" w:ascii="Times New Roman" w:hAnsi="Times New Roman" w:eastAsia="宋体" w:cs="Times New Roman"/>
                <w:color w:val="000000"/>
                <w:sz w:val="24"/>
                <w:szCs w:val="24"/>
                <w:lang w:val="en-US" w:eastAsia="zh-CN"/>
              </w:rPr>
              <w:t>生活垃圾</w:t>
            </w:r>
            <w:r>
              <w:rPr>
                <w:rFonts w:hint="default" w:ascii="Times New Roman" w:hAnsi="Times New Roman" w:eastAsia="宋体" w:cs="Times New Roman"/>
                <w:color w:val="000000"/>
                <w:sz w:val="24"/>
                <w:szCs w:val="24"/>
              </w:rPr>
              <w:t>由环卫部门定期清运处理</w:t>
            </w: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lang w:val="en-US" w:eastAsia="zh-CN"/>
              </w:rPr>
              <w:t>集成（一体化）净水设备所排污泥不含重金属及其他有害物质，</w:t>
            </w:r>
            <w:r>
              <w:rPr>
                <w:rFonts w:hint="default" w:ascii="Times New Roman" w:hAnsi="Times New Roman" w:eastAsia="宋体" w:cs="Times New Roman"/>
                <w:color w:val="000000"/>
                <w:sz w:val="24"/>
                <w:szCs w:val="24"/>
              </w:rPr>
              <w:t>定期清掏，由环卫部门清运处置</w:t>
            </w: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rPr>
              <w:t>因此，本项目产生的固体废物对周围环境基本无影响。</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（5）生态环境现状</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本项目建成后，水厂临时设施按要求拆除，水厂内空地全部硬化或绿化，自来水厂周边区域内植被逐渐恢复到原有水平，对生态环境影响较小。</w:t>
            </w:r>
          </w:p>
          <w:p>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楷体" w:cs="Times New Roman"/>
                <w:b/>
                <w:bCs/>
                <w:color w:val="000000"/>
                <w:sz w:val="28"/>
                <w:szCs w:val="28"/>
                <w:lang w:eastAsia="zh-CN"/>
              </w:rPr>
            </w:pPr>
            <w:r>
              <w:rPr>
                <w:rFonts w:hint="default" w:ascii="Times New Roman" w:hAnsi="Times New Roman" w:eastAsia="楷体" w:cs="Times New Roman"/>
                <w:b/>
                <w:bCs/>
                <w:color w:val="000000"/>
                <w:sz w:val="28"/>
                <w:szCs w:val="28"/>
                <w:lang w:eastAsia="zh-CN"/>
              </w:rPr>
              <w:t>8.3 验收监测结果</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根据</w:t>
            </w:r>
            <w:r>
              <w:rPr>
                <w:rFonts w:hint="eastAsia" w:ascii="Times New Roman" w:hAnsi="Times New Roman" w:eastAsia="宋体" w:cs="Times New Roman"/>
                <w:color w:val="000000"/>
                <w:sz w:val="24"/>
                <w:szCs w:val="24"/>
                <w:lang w:val="en-US" w:eastAsia="zh-CN"/>
              </w:rPr>
              <w:t>验收</w:t>
            </w:r>
            <w:r>
              <w:rPr>
                <w:rFonts w:hint="default" w:ascii="Times New Roman" w:hAnsi="Times New Roman" w:eastAsia="宋体" w:cs="Times New Roman"/>
                <w:color w:val="000000"/>
                <w:sz w:val="24"/>
                <w:szCs w:val="24"/>
              </w:rPr>
              <w:t>监测结果分析，</w:t>
            </w:r>
            <w:r>
              <w:rPr>
                <w:rFonts w:hint="eastAsia" w:ascii="Times New Roman" w:hAnsi="Times New Roman" w:eastAsia="宋体" w:cs="Times New Roman"/>
                <w:color w:val="000000"/>
                <w:sz w:val="24"/>
                <w:szCs w:val="24"/>
                <w:lang w:val="en-US" w:eastAsia="zh-CN"/>
              </w:rPr>
              <w:t>措周</w:t>
            </w:r>
            <w:r>
              <w:rPr>
                <w:rFonts w:hint="default" w:ascii="Times New Roman" w:hAnsi="Times New Roman" w:eastAsia="宋体" w:cs="Times New Roman"/>
                <w:color w:val="000000"/>
                <w:sz w:val="24"/>
                <w:szCs w:val="24"/>
              </w:rPr>
              <w:t>乡</w:t>
            </w:r>
            <w:r>
              <w:rPr>
                <w:rFonts w:hint="eastAsia" w:ascii="Times New Roman" w:hAnsi="Times New Roman" w:eastAsia="宋体" w:cs="Times New Roman"/>
                <w:color w:val="000000"/>
                <w:sz w:val="24"/>
                <w:szCs w:val="24"/>
                <w:lang w:val="en-US" w:eastAsia="zh-CN"/>
              </w:rPr>
              <w:t>水厂</w:t>
            </w:r>
            <w:r>
              <w:rPr>
                <w:rFonts w:hint="default" w:ascii="Times New Roman" w:hAnsi="Times New Roman" w:eastAsia="宋体" w:cs="Times New Roman"/>
                <w:color w:val="000000"/>
                <w:sz w:val="24"/>
                <w:szCs w:val="24"/>
              </w:rPr>
              <w:t>厂界昼间、夜间噪声监测值均满足《工业企业厂界环境噪声排放标准》</w:t>
            </w:r>
            <w:r>
              <w:rPr>
                <w:rFonts w:hint="eastAsia"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rPr>
              <w:t>GB 12348-2008</w:t>
            </w:r>
            <w:r>
              <w:rPr>
                <w:rFonts w:hint="eastAsia"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rPr>
              <w:t>表1中</w:t>
            </w:r>
            <w:r>
              <w:rPr>
                <w:rFonts w:hint="eastAsia" w:ascii="Times New Roman" w:hAnsi="Times New Roman" w:eastAsia="宋体" w:cs="Times New Roman"/>
                <w:color w:val="000000"/>
                <w:sz w:val="24"/>
                <w:szCs w:val="24"/>
                <w:lang w:val="en-US" w:eastAsia="zh-CN"/>
              </w:rPr>
              <w:t>2</w:t>
            </w:r>
            <w:r>
              <w:rPr>
                <w:rFonts w:hint="default" w:ascii="Times New Roman" w:hAnsi="Times New Roman" w:eastAsia="宋体" w:cs="Times New Roman"/>
                <w:color w:val="000000"/>
                <w:sz w:val="24"/>
                <w:szCs w:val="24"/>
              </w:rPr>
              <w:t>类功能区类别标准限值要求。因此项目采取噪声治理措施后对周围声环境影响较小，符合环保验收要求。</w:t>
            </w:r>
          </w:p>
          <w:p>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楷体" w:cs="Times New Roman"/>
                <w:b/>
                <w:bCs/>
                <w:color w:val="000000"/>
                <w:sz w:val="28"/>
                <w:szCs w:val="28"/>
                <w:lang w:eastAsia="zh-CN"/>
              </w:rPr>
            </w:pPr>
            <w:r>
              <w:rPr>
                <w:rFonts w:hint="default" w:ascii="Times New Roman" w:hAnsi="Times New Roman" w:eastAsia="楷体" w:cs="Times New Roman"/>
                <w:b/>
                <w:bCs/>
                <w:color w:val="000000"/>
                <w:sz w:val="28"/>
                <w:szCs w:val="28"/>
                <w:lang w:eastAsia="zh-CN"/>
              </w:rPr>
              <w:t>8.4 环境管理</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lang w:val="en-US" w:eastAsia="zh-CN"/>
              </w:rPr>
              <w:t>措周</w:t>
            </w:r>
            <w:r>
              <w:rPr>
                <w:rFonts w:hint="default" w:ascii="Times New Roman" w:hAnsi="Times New Roman" w:eastAsia="宋体" w:cs="Times New Roman"/>
                <w:color w:val="000000"/>
                <w:sz w:val="24"/>
                <w:szCs w:val="24"/>
              </w:rPr>
              <w:t>乡水厂建立完善的管理机构、环境保护规章制度和风险预警机制，项目环保手续及环保档案资料基本齐全；环保设施基本按环评及批复要求落实，各种环保设施运行正常。</w:t>
            </w:r>
          </w:p>
          <w:p>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楷体" w:cs="Times New Roman"/>
                <w:b/>
                <w:bCs/>
                <w:color w:val="000000"/>
                <w:sz w:val="28"/>
                <w:szCs w:val="28"/>
                <w:lang w:eastAsia="zh-CN"/>
              </w:rPr>
            </w:pPr>
            <w:r>
              <w:rPr>
                <w:rFonts w:hint="default" w:ascii="Times New Roman" w:hAnsi="Times New Roman" w:eastAsia="楷体" w:cs="Times New Roman"/>
                <w:b/>
                <w:bCs/>
                <w:color w:val="000000"/>
                <w:sz w:val="28"/>
                <w:szCs w:val="28"/>
                <w:lang w:eastAsia="zh-CN"/>
              </w:rPr>
              <w:t>8.5 综合结论</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color w:val="000000"/>
                <w:sz w:val="24"/>
                <w:szCs w:val="24"/>
              </w:rPr>
            </w:pPr>
            <w:r>
              <w:rPr>
                <w:rFonts w:hint="default" w:ascii="宋体" w:hAnsi="宋体" w:eastAsia="宋体" w:cs="宋体"/>
                <w:sz w:val="24"/>
                <w:lang w:val="en-US" w:eastAsia="zh-CN"/>
              </w:rPr>
              <w:t>黄南州尖扎县</w:t>
            </w:r>
            <w:r>
              <w:rPr>
                <w:rFonts w:hint="eastAsia" w:ascii="宋体" w:hAnsi="宋体" w:eastAsia="宋体" w:cs="宋体"/>
                <w:sz w:val="24"/>
                <w:lang w:val="en-US" w:eastAsia="zh-CN"/>
              </w:rPr>
              <w:t>措</w:t>
            </w:r>
            <w:r>
              <w:rPr>
                <w:rFonts w:hint="default" w:ascii="宋体" w:hAnsi="宋体" w:eastAsia="宋体" w:cs="宋体"/>
                <w:sz w:val="24"/>
                <w:lang w:val="en-US" w:eastAsia="zh-CN"/>
              </w:rPr>
              <w:t>周乡净化水厂建设项目</w:t>
            </w:r>
            <w:r>
              <w:rPr>
                <w:rFonts w:hint="default" w:ascii="Times New Roman" w:hAnsi="Times New Roman" w:eastAsia="宋体" w:cs="Times New Roman"/>
                <w:color w:val="000000"/>
                <w:sz w:val="24"/>
                <w:szCs w:val="24"/>
              </w:rPr>
              <w:t>严格按照环评报告表及环评批复的要求采取相应的污染防治措施，各项措施能够落到实处，项目的建设对环境的影响很小。根据监测结果表明，该项目产生的噪声监测指标能满足相应的排放标准要求</w:t>
            </w:r>
            <w:r>
              <w:rPr>
                <w:rFonts w:hint="eastAsia"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rPr>
              <w:t>企业环保档案资料基本齐全，总体上达到了建设项目竣工环境保护验收的要求，建议项目通过环境保护竣工验收。</w:t>
            </w:r>
          </w:p>
          <w:p>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楷体" w:cs="Times New Roman"/>
                <w:b/>
                <w:bCs/>
                <w:color w:val="000000"/>
                <w:sz w:val="28"/>
                <w:szCs w:val="28"/>
                <w:lang w:eastAsia="zh-CN"/>
              </w:rPr>
            </w:pPr>
            <w:r>
              <w:rPr>
                <w:rFonts w:hint="default" w:ascii="Times New Roman" w:hAnsi="Times New Roman" w:eastAsia="楷体" w:cs="Times New Roman"/>
                <w:b/>
                <w:bCs/>
                <w:color w:val="000000"/>
                <w:sz w:val="28"/>
                <w:szCs w:val="28"/>
                <w:lang w:eastAsia="zh-CN"/>
              </w:rPr>
              <w:t>8.6 建议</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（1）加强对饮用水源的保护，对净水厂内各净水设施进行严格的管理。</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（2）加强环境意识教育，对环保制度上墙公布。</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（3）加强环保设施的日常管理和维护，建立规范的处理设施运行记录；定期对水厂出水水质进行监测，保证饮用水安全和质量。</w:t>
            </w:r>
          </w:p>
        </w:tc>
      </w:tr>
    </w:tbl>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after="0" w:afterLines="0"/>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after="0" w:afterLines="0"/>
      <w:ind w:right="360" w:firstLine="36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3A7151"/>
    <w:multiLevelType w:val="singleLevel"/>
    <w:tmpl w:val="883A7151"/>
    <w:lvl w:ilvl="0" w:tentative="0">
      <w:start w:val="1"/>
      <w:numFmt w:val="decimal"/>
      <w:suff w:val="nothing"/>
      <w:lvlText w:val="（%1）"/>
      <w:lvlJc w:val="left"/>
    </w:lvl>
  </w:abstractNum>
  <w:abstractNum w:abstractNumId="1">
    <w:nsid w:val="9AFDA767"/>
    <w:multiLevelType w:val="singleLevel"/>
    <w:tmpl w:val="9AFDA767"/>
    <w:lvl w:ilvl="0" w:tentative="0">
      <w:start w:val="1"/>
      <w:numFmt w:val="decimal"/>
      <w:suff w:val="nothing"/>
      <w:lvlText w:val="（%1）"/>
      <w:lvlJc w:val="left"/>
    </w:lvl>
  </w:abstractNum>
  <w:abstractNum w:abstractNumId="2">
    <w:nsid w:val="4B62F568"/>
    <w:multiLevelType w:val="multilevel"/>
    <w:tmpl w:val="4B62F568"/>
    <w:lvl w:ilvl="0" w:tentative="0">
      <w:start w:val="1"/>
      <w:numFmt w:val="decimal"/>
      <w:lvlText w:val="%1."/>
      <w:lvlJc w:val="left"/>
      <w:pPr>
        <w:ind w:left="432" w:hanging="432"/>
      </w:pPr>
      <w:rPr>
        <w:rFonts w:hint="default"/>
        <w:b/>
        <w:bCs/>
        <w:sz w:val="28"/>
        <w:szCs w:val="28"/>
      </w:rPr>
    </w:lvl>
    <w:lvl w:ilvl="1" w:tentative="0">
      <w:start w:val="1"/>
      <w:numFmt w:val="decimal"/>
      <w:pStyle w:val="3"/>
      <w:lvlText w:val="%1.%2."/>
      <w:lvlJc w:val="left"/>
      <w:pPr>
        <w:ind w:left="575" w:hanging="575"/>
      </w:pPr>
      <w:rPr>
        <w:rFonts w:hint="default"/>
        <w:b/>
        <w:bCs/>
        <w:sz w:val="28"/>
        <w:szCs w:val="28"/>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mZjlmNjE3ZDMyZjI2MDkwYjQ4ZWU3ZWY2ODM0NTgifQ=="/>
  </w:docVars>
  <w:rsids>
    <w:rsidRoot w:val="00172A27"/>
    <w:rsid w:val="01FC442B"/>
    <w:rsid w:val="15C328A0"/>
    <w:rsid w:val="20213291"/>
    <w:rsid w:val="2B236555"/>
    <w:rsid w:val="2B541EA3"/>
    <w:rsid w:val="2C3F2C2D"/>
    <w:rsid w:val="33796BF9"/>
    <w:rsid w:val="39613B9A"/>
    <w:rsid w:val="4DC03197"/>
    <w:rsid w:val="54EC7096"/>
    <w:rsid w:val="5AC70550"/>
    <w:rsid w:val="5E284D5D"/>
    <w:rsid w:val="62F80ADB"/>
    <w:rsid w:val="6B2A4C4D"/>
    <w:rsid w:val="6C7431F4"/>
    <w:rsid w:val="6ECC42A4"/>
    <w:rsid w:val="73950BA6"/>
    <w:rsid w:val="7A9A2F32"/>
    <w:rsid w:val="7DD64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adjustRightInd w:val="0"/>
      <w:snapToGrid w:val="0"/>
      <w:spacing w:after="200" w:afterLines="0"/>
    </w:pPr>
    <w:rPr>
      <w:rFonts w:ascii="Tahoma" w:hAnsi="Tahoma" w:eastAsia="微软雅黑" w:cstheme="minorBidi"/>
      <w:sz w:val="22"/>
      <w:szCs w:val="22"/>
      <w:lang w:val="en-US" w:eastAsia="zh-CN" w:bidi="ar-SA"/>
    </w:rPr>
  </w:style>
  <w:style w:type="paragraph" w:styleId="3">
    <w:name w:val="heading 2"/>
    <w:basedOn w:val="1"/>
    <w:next w:val="1"/>
    <w:autoRedefine/>
    <w:semiHidden/>
    <w:unhideWhenUsed/>
    <w:qFormat/>
    <w:uiPriority w:val="0"/>
    <w:pPr>
      <w:numPr>
        <w:ilvl w:val="1"/>
        <w:numId w:val="1"/>
      </w:numPr>
      <w:spacing w:before="0" w:beforeAutospacing="1" w:after="0" w:afterAutospacing="1"/>
      <w:ind w:left="575" w:hanging="575"/>
      <w:jc w:val="left"/>
      <w:outlineLvl w:val="1"/>
    </w:pPr>
    <w:rPr>
      <w:rFonts w:hint="eastAsia" w:ascii="Times New Roman" w:hAnsi="Times New Roman" w:cs="Times New Roman" w:eastAsiaTheme="majorEastAsia"/>
      <w:b/>
      <w:bCs/>
      <w:kern w:val="0"/>
      <w:sz w:val="28"/>
      <w:szCs w:val="28"/>
      <w:lang w:bidi="ar"/>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1"/>
    <w:next w:val="1"/>
    <w:autoRedefine/>
    <w:qFormat/>
    <w:uiPriority w:val="0"/>
    <w:pPr>
      <w:ind w:firstLine="420" w:firstLineChars="200"/>
    </w:pPr>
    <w:rPr>
      <w:kern w:val="2"/>
      <w:sz w:val="21"/>
      <w:szCs w:val="24"/>
    </w:rPr>
  </w:style>
  <w:style w:type="paragraph" w:styleId="4">
    <w:name w:val="caption"/>
    <w:basedOn w:val="1"/>
    <w:next w:val="1"/>
    <w:autoRedefine/>
    <w:unhideWhenUsed/>
    <w:qFormat/>
    <w:uiPriority w:val="0"/>
    <w:rPr>
      <w:rFonts w:ascii="Arial" w:hAnsi="Arial" w:eastAsia="黑体" w:cs="Arial"/>
      <w:sz w:val="20"/>
    </w:rPr>
  </w:style>
  <w:style w:type="paragraph" w:styleId="5">
    <w:name w:val="Body Text"/>
    <w:basedOn w:val="1"/>
    <w:next w:val="6"/>
    <w:autoRedefine/>
    <w:qFormat/>
    <w:uiPriority w:val="0"/>
    <w:pPr>
      <w:spacing w:after="120"/>
    </w:pPr>
  </w:style>
  <w:style w:type="paragraph" w:styleId="6">
    <w:name w:val="Body Text Indent"/>
    <w:basedOn w:val="1"/>
    <w:next w:val="1"/>
    <w:autoRedefine/>
    <w:unhideWhenUsed/>
    <w:qFormat/>
    <w:uiPriority w:val="99"/>
    <w:pPr>
      <w:spacing w:line="360" w:lineRule="auto"/>
      <w:ind w:left="600"/>
    </w:pPr>
    <w:rPr>
      <w:sz w:val="24"/>
      <w:szCs w:val="20"/>
    </w:rPr>
  </w:style>
  <w:style w:type="paragraph" w:styleId="7">
    <w:name w:val="footer"/>
    <w:basedOn w:val="1"/>
    <w:autoRedefine/>
    <w:qFormat/>
    <w:uiPriority w:val="0"/>
    <w:pPr>
      <w:tabs>
        <w:tab w:val="center" w:pos="4153"/>
        <w:tab w:val="right" w:pos="8306"/>
      </w:tabs>
    </w:pPr>
    <w:rPr>
      <w:rFonts w:ascii="Tahoma" w:hAnsi="Tahoma"/>
      <w:sz w:val="18"/>
      <w:szCs w:val="18"/>
    </w:rPr>
  </w:style>
  <w:style w:type="paragraph" w:styleId="8">
    <w:name w:val="header"/>
    <w:basedOn w:val="1"/>
    <w:next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Indent 3"/>
    <w:basedOn w:val="1"/>
    <w:autoRedefine/>
    <w:qFormat/>
    <w:uiPriority w:val="0"/>
    <w:pPr>
      <w:spacing w:after="120" w:afterLines="0"/>
      <w:ind w:left="420" w:leftChars="200"/>
    </w:pPr>
    <w:rPr>
      <w:sz w:val="16"/>
      <w:szCs w:val="16"/>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autoRedefine/>
    <w:qFormat/>
    <w:uiPriority w:val="0"/>
  </w:style>
  <w:style w:type="paragraph" w:customStyle="1" w:styleId="14">
    <w:name w:val="列出段落"/>
    <w:basedOn w:val="1"/>
    <w:autoRedefine/>
    <w:qFormat/>
    <w:uiPriority w:val="0"/>
    <w:pPr>
      <w:widowControl w:val="0"/>
      <w:adjustRightInd/>
      <w:snapToGrid/>
      <w:spacing w:after="0" w:afterLines="0"/>
      <w:ind w:firstLine="420" w:firstLineChars="200"/>
      <w:jc w:val="both"/>
    </w:pPr>
    <w:rPr>
      <w:rFonts w:ascii="Times New Roman" w:hAnsi="Times New Roman" w:eastAsia="宋体"/>
      <w:kern w:val="2"/>
      <w:sz w:val="21"/>
      <w:szCs w:val="20"/>
    </w:rPr>
  </w:style>
  <w:style w:type="paragraph" w:customStyle="1" w:styleId="15">
    <w:name w:val="Normal (Web)"/>
    <w:basedOn w:val="1"/>
    <w:autoRedefine/>
    <w:qFormat/>
    <w:uiPriority w:val="0"/>
    <w:pPr>
      <w:adjustRightInd/>
      <w:snapToGrid/>
      <w:spacing w:before="100" w:beforeLines="0" w:beforeAutospacing="1" w:after="100" w:afterLines="0" w:afterAutospacing="1"/>
    </w:pPr>
    <w:rPr>
      <w:rFonts w:ascii="宋体" w:hAnsi="宋体" w:eastAsia="宋体" w:cs="宋体"/>
      <w:sz w:val="24"/>
      <w:szCs w:val="24"/>
    </w:rPr>
  </w:style>
  <w:style w:type="character" w:customStyle="1" w:styleId="16">
    <w:name w:val="page number"/>
    <w:basedOn w:val="12"/>
    <w:autoRedefine/>
    <w:qFormat/>
    <w:uiPriority w:val="0"/>
  </w:style>
  <w:style w:type="paragraph" w:customStyle="1" w:styleId="17">
    <w:name w:val="Table Paragraph"/>
    <w:basedOn w:val="1"/>
    <w:autoRedefine/>
    <w:qFormat/>
    <w:uiPriority w:val="1"/>
  </w:style>
  <w:style w:type="paragraph" w:customStyle="1" w:styleId="18">
    <w:name w:val="表头"/>
    <w:basedOn w:val="19"/>
    <w:next w:val="1"/>
    <w:autoRedefine/>
    <w:qFormat/>
    <w:uiPriority w:val="0"/>
    <w:pPr>
      <w:adjustRightInd w:val="0"/>
      <w:snapToGrid w:val="0"/>
      <w:spacing w:line="240" w:lineRule="auto"/>
      <w:jc w:val="center"/>
      <w:textAlignment w:val="baseline"/>
    </w:pPr>
    <w:rPr>
      <w:rFonts w:ascii="Times New Roman" w:hAnsi="Times New Roman" w:eastAsia="宋体"/>
      <w:b/>
      <w:bCs w:val="0"/>
      <w:color w:val="000000"/>
      <w:sz w:val="21"/>
    </w:rPr>
  </w:style>
  <w:style w:type="paragraph" w:customStyle="1" w:styleId="19">
    <w:name w:val="表格"/>
    <w:basedOn w:val="1"/>
    <w:next w:val="1"/>
    <w:autoRedefine/>
    <w:qFormat/>
    <w:uiPriority w:val="0"/>
    <w:pPr>
      <w:spacing w:line="440" w:lineRule="exact"/>
      <w:jc w:val="center"/>
    </w:pPr>
    <w:rPr>
      <w:bCs/>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14285</Words>
  <Characters>16365</Characters>
  <Lines>0</Lines>
  <Paragraphs>0</Paragraphs>
  <TotalTime>16</TotalTime>
  <ScaleCrop>false</ScaleCrop>
  <LinksUpToDate>false</LinksUpToDate>
  <CharactersWithSpaces>16544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2022-06-06T03:44:00Z</dcterms:created>
  <dc:creator>26044</dc:creator>
  <cp:lastModifiedBy>-0.00°</cp:lastModifiedBy>
  <dcterms:modified xsi:type="dcterms:W3CDTF">2024-01-25T07:34:21Z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A3C127477EF24841BC348C94E0EF9471_13</vt:lpwstr>
  </property>
</Properties>
</file>