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afterLines="50" w:line="520" w:lineRule="exact"/>
        <w:rPr>
          <w:rFonts w:hint="default" w:ascii="Times New Roman" w:hAnsi="Times New Roman" w:cs="Times New Roman"/>
          <w:color w:val="000000"/>
          <w:sz w:val="28"/>
          <w:szCs w:val="28"/>
        </w:rPr>
      </w:pPr>
      <w:bookmarkStart w:id="0" w:name="_Toc21382"/>
      <w:bookmarkStart w:id="1" w:name="_Toc346464047"/>
      <w:r>
        <w:rPr>
          <w:rFonts w:hint="default" w:ascii="Times New Roman" w:hAnsi="Times New Roman" w:cs="Times New Roman"/>
          <w:color w:val="000000"/>
          <w:sz w:val="28"/>
          <w:szCs w:val="28"/>
        </w:rPr>
        <w:t>1、验收项目概况</w:t>
      </w:r>
      <w:bookmarkEnd w:id="0"/>
      <w:bookmarkEnd w:id="1"/>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szCs w:val="24"/>
        </w:rPr>
        <w:t>信阳市德隆超硬材料有限公司年产5000万克拉高转化率锋利型立方氮化硼单晶项目</w:t>
      </w:r>
      <w:r>
        <w:rPr>
          <w:rFonts w:hint="default" w:ascii="Times New Roman" w:hAnsi="Times New Roman" w:cs="Times New Roman"/>
          <w:sz w:val="24"/>
        </w:rPr>
        <w:t>建设地点位于</w:t>
      </w:r>
      <w:r>
        <w:rPr>
          <w:rFonts w:hint="default" w:ascii="Times New Roman" w:hAnsi="Times New Roman" w:cs="Times New Roman"/>
          <w:sz w:val="24"/>
          <w:szCs w:val="24"/>
        </w:rPr>
        <w:t>信阳市产业集聚区信阳高新区工五路与工十四路交叉口</w:t>
      </w:r>
      <w:r>
        <w:rPr>
          <w:rFonts w:hint="default" w:ascii="Times New Roman" w:hAnsi="Times New Roman" w:cs="Times New Roman"/>
          <w:sz w:val="24"/>
        </w:rPr>
        <w:t>，项目</w:t>
      </w:r>
      <w:r>
        <w:rPr>
          <w:rFonts w:hint="default" w:ascii="Times New Roman" w:hAnsi="Times New Roman" w:cs="Times New Roman"/>
          <w:sz w:val="24"/>
          <w:szCs w:val="24"/>
        </w:rPr>
        <w:t>将现有生产线进行改建，依托现有厂房600平方米，引进Φ650缸径压机及其他辅助设备，实现年产5000万克拉高转化率锋利型立方氮化硼单晶</w:t>
      </w:r>
      <w:r>
        <w:rPr>
          <w:rFonts w:hint="default" w:ascii="Times New Roman" w:hAnsi="Times New Roman" w:cs="Times New Roman"/>
          <w:sz w:val="24"/>
        </w:rPr>
        <w:t>。项目性质属改建，由</w:t>
      </w:r>
      <w:r>
        <w:rPr>
          <w:rFonts w:hint="default" w:ascii="Times New Roman" w:hAnsi="Times New Roman" w:cs="Times New Roman"/>
          <w:sz w:val="24"/>
          <w:szCs w:val="24"/>
        </w:rPr>
        <w:t>信阳市德隆超硬材料有限公司</w:t>
      </w:r>
      <w:r>
        <w:rPr>
          <w:rFonts w:hint="default" w:ascii="Times New Roman" w:hAnsi="Times New Roman" w:cs="Times New Roman"/>
          <w:sz w:val="24"/>
        </w:rPr>
        <w:t>投资建设。</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该项目于2020年09月17日在信阳市产业集聚区进行了备案，项目代码：</w:t>
      </w:r>
      <w:r>
        <w:rPr>
          <w:rFonts w:hint="default" w:ascii="Times New Roman" w:hAnsi="Times New Roman" w:cs="Times New Roman"/>
          <w:bCs/>
          <w:sz w:val="24"/>
        </w:rPr>
        <w:t>2020-411571-30-03-079869</w:t>
      </w:r>
      <w:r>
        <w:rPr>
          <w:rFonts w:hint="default" w:ascii="Times New Roman" w:hAnsi="Times New Roman" w:cs="Times New Roman"/>
          <w:color w:val="000000"/>
          <w:kern w:val="0"/>
          <w:sz w:val="24"/>
          <w:szCs w:val="24"/>
        </w:rPr>
        <w:t>。</w:t>
      </w:r>
      <w:r>
        <w:rPr>
          <w:rFonts w:hint="default" w:ascii="Times New Roman" w:hAnsi="Times New Roman" w:cs="Times New Roman"/>
          <w:color w:val="000000"/>
          <w:sz w:val="24"/>
          <w:szCs w:val="24"/>
        </w:rPr>
        <w:t>其环境影响报告表由安徽汇泽通环境技术有限公司于2021年6月编制完成，并于2021年6月30日通过信阳市生态环境局审批，批复文号为“信环审[2021]31号”。</w:t>
      </w:r>
    </w:p>
    <w:p>
      <w:pPr>
        <w:pStyle w:val="91"/>
        <w:ind w:firstLine="480"/>
        <w:rPr>
          <w:rFonts w:hint="default" w:ascii="Times New Roman" w:hAnsi="Times New Roman" w:eastAsia="宋体" w:cs="Times New Roman"/>
          <w:color w:val="auto"/>
          <w:lang w:val="en-US" w:eastAsia="zh-CN"/>
        </w:rPr>
      </w:pPr>
      <w:r>
        <w:rPr>
          <w:rFonts w:hint="default" w:ascii="Times New Roman" w:hAnsi="Times New Roman" w:cs="Times New Roman"/>
        </w:rPr>
        <w:t>信阳市德隆超硬材料有限公司现有工程于2020年3月28日进行排污许可登记，编号</w:t>
      </w:r>
      <w:r>
        <w:rPr>
          <w:rFonts w:hint="default" w:ascii="Times New Roman" w:hAnsi="Times New Roman" w:cs="Times New Roman"/>
          <w:color w:val="auto"/>
          <w:szCs w:val="21"/>
        </w:rPr>
        <w:t>91411500577636652T001Y</w:t>
      </w:r>
      <w:r>
        <w:rPr>
          <w:rFonts w:hint="default" w:ascii="Times New Roman" w:hAnsi="Times New Roman" w:cs="Times New Roman"/>
        </w:rPr>
        <w:t>。信阳市德隆超硬材料有限公司年产5000万克拉高转化率锋利型立方氮化硼单晶项目于</w:t>
      </w:r>
      <w:r>
        <w:rPr>
          <w:rFonts w:hint="default" w:ascii="Times New Roman" w:hAnsi="Times New Roman" w:cs="Times New Roman"/>
          <w:lang w:val="en-US" w:eastAsia="zh-CN"/>
        </w:rPr>
        <w:t>2021年11月动工建设，</w:t>
      </w: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eastAsia="zh-CN"/>
        </w:rPr>
        <w:t>份</w:t>
      </w:r>
      <w:r>
        <w:rPr>
          <w:rFonts w:hint="default" w:ascii="Times New Roman" w:hAnsi="Times New Roman" w:cs="Times New Roman"/>
        </w:rPr>
        <w:t>竣工，于2023年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21</w:t>
      </w:r>
      <w:r>
        <w:rPr>
          <w:rFonts w:hint="default" w:ascii="Times New Roman" w:hAnsi="Times New Roman" w:cs="Times New Roman"/>
        </w:rPr>
        <w:t>日变更排污许可登记内容</w:t>
      </w:r>
      <w:r>
        <w:rPr>
          <w:rFonts w:hint="default" w:ascii="Times New Roman" w:hAnsi="Times New Roman" w:cs="Times New Roman"/>
          <w:lang w:eastAsia="zh-CN"/>
        </w:rPr>
        <w:t>。</w:t>
      </w:r>
      <w:r>
        <w:rPr>
          <w:rFonts w:hint="default" w:ascii="Times New Roman" w:hAnsi="Times New Roman" w:cs="Times New Roman"/>
          <w:lang w:val="en-US" w:eastAsia="zh-CN"/>
        </w:rPr>
        <w:t>2023年7月25日到8月31日调试生产。</w:t>
      </w:r>
    </w:p>
    <w:p>
      <w:pPr>
        <w:pStyle w:val="91"/>
        <w:ind w:firstLine="480"/>
        <w:rPr>
          <w:rFonts w:hint="default" w:ascii="Times New Roman" w:hAnsi="Times New Roman" w:cs="Times New Roman"/>
          <w:color w:val="auto"/>
        </w:rPr>
      </w:pPr>
      <w:r>
        <w:rPr>
          <w:rFonts w:hint="default" w:ascii="Times New Roman" w:hAnsi="Times New Roman" w:cs="Times New Roman"/>
          <w:color w:val="auto"/>
        </w:rPr>
        <w:t>项目基本情况一览表见表1-1。</w:t>
      </w:r>
    </w:p>
    <w:p>
      <w:pPr>
        <w:pStyle w:val="91"/>
        <w:ind w:firstLine="480"/>
        <w:rPr>
          <w:rFonts w:hint="default" w:ascii="Times New Roman" w:hAnsi="Times New Roman" w:eastAsia="黑体" w:cs="Times New Roman"/>
          <w:color w:val="auto"/>
        </w:rPr>
      </w:pPr>
      <w:r>
        <w:rPr>
          <w:rFonts w:hint="default" w:ascii="Times New Roman" w:hAnsi="Times New Roman" w:eastAsia="黑体" w:cs="Times New Roman"/>
          <w:color w:val="auto"/>
        </w:rPr>
        <w:t>表1-1                项目基本情况一览表</w:t>
      </w:r>
    </w:p>
    <w:tbl>
      <w:tblPr>
        <w:tblStyle w:val="4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51"/>
        <w:gridCol w:w="1553"/>
        <w:gridCol w:w="251"/>
        <w:gridCol w:w="947"/>
        <w:gridCol w:w="506"/>
        <w:gridCol w:w="1195"/>
        <w:gridCol w:w="1000"/>
        <w:gridCol w:w="1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4188" w:type="pct"/>
            <w:gridSpan w:val="7"/>
            <w:vAlign w:val="center"/>
          </w:tcPr>
          <w:p>
            <w:pPr>
              <w:pStyle w:val="91"/>
              <w:spacing w:line="32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sz w:val="21"/>
              </w:rPr>
              <w:t>信阳市德隆超硬材料有限公司年产5000万克拉高转化率锋利型立方氮化硼单晶项目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建设性质</w:t>
            </w:r>
          </w:p>
        </w:tc>
        <w:tc>
          <w:tcPr>
            <w:tcW w:w="933"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改建</w:t>
            </w:r>
          </w:p>
        </w:tc>
        <w:tc>
          <w:tcPr>
            <w:tcW w:w="1024" w:type="pct"/>
            <w:gridSpan w:val="3"/>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行业类别及代码</w:t>
            </w:r>
          </w:p>
        </w:tc>
        <w:tc>
          <w:tcPr>
            <w:tcW w:w="2231" w:type="pct"/>
            <w:gridSpan w:val="3"/>
            <w:vAlign w:val="center"/>
          </w:tcPr>
          <w:p>
            <w:pPr>
              <w:pStyle w:val="91"/>
              <w:spacing w:line="320" w:lineRule="exact"/>
              <w:ind w:firstLine="420"/>
              <w:jc w:val="center"/>
              <w:rPr>
                <w:rFonts w:hint="default" w:ascii="Times New Roman" w:hAnsi="Times New Roman" w:cs="Times New Roman"/>
                <w:bCs/>
                <w:spacing w:val="-4"/>
                <w:sz w:val="21"/>
              </w:rPr>
            </w:pPr>
            <w:r>
              <w:rPr>
                <w:rFonts w:hint="default" w:ascii="Times New Roman" w:hAnsi="Times New Roman" w:cs="Times New Roman"/>
                <w:kern w:val="0"/>
                <w:sz w:val="21"/>
              </w:rPr>
              <w:t>石墨及其他非金属矿物制品制造309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FF0000"/>
                <w:sz w:val="21"/>
                <w:szCs w:val="21"/>
              </w:rPr>
            </w:pPr>
            <w:r>
              <w:rPr>
                <w:rFonts w:hint="default" w:ascii="Times New Roman" w:hAnsi="Times New Roman" w:cs="Times New Roman"/>
                <w:sz w:val="21"/>
              </w:rPr>
              <w:t>信阳市德隆超硬材料有限公司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rPr>
              <w:t>信阳市产业集聚区信阳高新区工五路与工十四路交叉口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环境影响报告表编制单位</w:t>
            </w:r>
          </w:p>
        </w:tc>
        <w:tc>
          <w:tcPr>
            <w:tcW w:w="2675" w:type="pct"/>
            <w:gridSpan w:val="5"/>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rPr>
              <w:t>安徽汇泽通环境技术有限公司</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完成时间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环境影响报告表审批部门</w:t>
            </w:r>
          </w:p>
        </w:tc>
        <w:tc>
          <w:tcPr>
            <w:tcW w:w="1084"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rPr>
              <w:t>信阳市生态环境局</w:t>
            </w:r>
          </w:p>
        </w:tc>
        <w:tc>
          <w:tcPr>
            <w:tcW w:w="569"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审批文号</w:t>
            </w:r>
          </w:p>
        </w:tc>
        <w:tc>
          <w:tcPr>
            <w:tcW w:w="1022"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信环审[2021]31号</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开工时间</w:t>
            </w:r>
          </w:p>
        </w:tc>
        <w:tc>
          <w:tcPr>
            <w:tcW w:w="1084"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2021年1</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月1日</w:t>
            </w:r>
          </w:p>
        </w:tc>
        <w:tc>
          <w:tcPr>
            <w:tcW w:w="569"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竣工时间</w:t>
            </w:r>
          </w:p>
        </w:tc>
        <w:tc>
          <w:tcPr>
            <w:tcW w:w="1022"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年</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lang w:val="en-US" w:eastAsia="zh-CN"/>
              </w:rPr>
              <w:t>31</w:t>
            </w:r>
            <w:r>
              <w:rPr>
                <w:rFonts w:hint="default" w:ascii="Times New Roman" w:hAnsi="Times New Roman" w:cs="Times New Roman"/>
                <w:color w:val="auto"/>
                <w:sz w:val="21"/>
                <w:szCs w:val="21"/>
              </w:rPr>
              <w:t>日</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调试时间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2023年</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排污许可证申领情况</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已领取，登记编号：914101007218444146001Z</w:t>
            </w:r>
          </w:p>
        </w:tc>
      </w:tr>
    </w:tbl>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根据《中华人民共和国环境保护法》、《建设项目环境保护管理条例</w:t>
      </w:r>
      <w:r>
        <w:rPr>
          <w:rFonts w:hint="default" w:ascii="Times New Roman" w:hAnsi="Times New Roman" w:cs="Times New Roman"/>
          <w:color w:val="000000"/>
        </w:rPr>
        <w:t>（修订）</w:t>
      </w:r>
      <w:r>
        <w:rPr>
          <w:rFonts w:hint="default" w:ascii="Times New Roman" w:hAnsi="Times New Roman" w:cs="Times New Roman"/>
          <w:color w:val="000000"/>
          <w:sz w:val="24"/>
          <w:szCs w:val="24"/>
        </w:rPr>
        <w:t>》</w:t>
      </w:r>
      <w:r>
        <w:rPr>
          <w:rFonts w:hint="default" w:ascii="Times New Roman" w:hAnsi="Times New Roman" w:cs="Times New Roman"/>
          <w:color w:val="000000"/>
        </w:rPr>
        <w:t>（</w:t>
      </w:r>
      <w:r>
        <w:rPr>
          <w:rFonts w:hint="default" w:ascii="Times New Roman" w:hAnsi="Times New Roman" w:cs="Times New Roman"/>
          <w:color w:val="000000"/>
          <w:sz w:val="24"/>
          <w:szCs w:val="24"/>
        </w:rPr>
        <w:t>国务院令第682号</w:t>
      </w:r>
      <w:r>
        <w:rPr>
          <w:rFonts w:hint="default" w:ascii="Times New Roman" w:hAnsi="Times New Roman" w:cs="Times New Roman"/>
          <w:color w:val="000000"/>
        </w:rPr>
        <w:t>）</w:t>
      </w:r>
      <w:r>
        <w:rPr>
          <w:rFonts w:hint="default" w:ascii="Times New Roman" w:hAnsi="Times New Roman" w:cs="Times New Roman"/>
          <w:color w:val="000000"/>
          <w:sz w:val="24"/>
          <w:szCs w:val="24"/>
        </w:rPr>
        <w:t>、《建设项目竣工环境保护验收暂行办法》（国环规环评[2017]26号）等有关规定及“三同时”制度的要求，建设项目在正式投入生产和使用前，须组织环境保护竣工验收。信阳市德隆超硬材料有限公司于2023年</w:t>
      </w:r>
      <w:r>
        <w:rPr>
          <w:rFonts w:hint="default"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月开展本项目的竣工环境保护验收工作，</w:t>
      </w:r>
      <w:r>
        <w:rPr>
          <w:rFonts w:hint="default" w:ascii="Times New Roman" w:hAnsi="Times New Roman" w:cs="Times New Roman"/>
          <w:color w:val="000000"/>
          <w:kern w:val="0"/>
          <w:sz w:val="24"/>
          <w:szCs w:val="24"/>
        </w:rPr>
        <w:t>对照</w:t>
      </w:r>
      <w:r>
        <w:rPr>
          <w:rFonts w:hint="default" w:ascii="Times New Roman" w:hAnsi="Times New Roman" w:cs="Times New Roman"/>
          <w:color w:val="000000"/>
          <w:sz w:val="24"/>
          <w:szCs w:val="24"/>
        </w:rPr>
        <w:t>项目环境影响报告表及批复内容，</w:t>
      </w:r>
      <w:r>
        <w:rPr>
          <w:rFonts w:hint="default" w:ascii="Times New Roman" w:hAnsi="Times New Roman" w:cs="Times New Roman"/>
          <w:color w:val="000000"/>
          <w:kern w:val="0"/>
          <w:sz w:val="24"/>
          <w:szCs w:val="24"/>
        </w:rPr>
        <w:t>对项目建设情况和环境保护设施建设情况进行了验收自查，然后</w:t>
      </w:r>
      <w:r>
        <w:rPr>
          <w:rFonts w:hint="default" w:ascii="Times New Roman" w:hAnsi="Times New Roman" w:cs="Times New Roman"/>
          <w:color w:val="000000"/>
          <w:sz w:val="24"/>
          <w:szCs w:val="24"/>
        </w:rPr>
        <w:t>根据自查结果编制了验收监测方案，并委托</w:t>
      </w:r>
      <w:r>
        <w:rPr>
          <w:rFonts w:hint="default" w:ascii="Times New Roman" w:hAnsi="Times New Roman" w:cs="Times New Roman"/>
          <w:bCs/>
          <w:color w:val="000000"/>
          <w:sz w:val="24"/>
          <w:szCs w:val="24"/>
          <w:highlight w:val="none"/>
        </w:rPr>
        <w:t>河南</w:t>
      </w:r>
      <w:r>
        <w:rPr>
          <w:rFonts w:hint="default" w:ascii="Times New Roman" w:hAnsi="Times New Roman" w:cs="Times New Roman"/>
          <w:bCs/>
          <w:color w:val="000000"/>
          <w:sz w:val="24"/>
          <w:szCs w:val="24"/>
          <w:highlight w:val="none"/>
          <w:lang w:eastAsia="zh-CN"/>
        </w:rPr>
        <w:t>永飞检测科技</w:t>
      </w:r>
      <w:r>
        <w:rPr>
          <w:rFonts w:hint="default" w:ascii="Times New Roman" w:hAnsi="Times New Roman" w:cs="Times New Roman"/>
          <w:bCs/>
          <w:color w:val="000000"/>
          <w:sz w:val="24"/>
          <w:szCs w:val="24"/>
          <w:highlight w:val="none"/>
        </w:rPr>
        <w:t>有限公司</w:t>
      </w:r>
      <w:r>
        <w:rPr>
          <w:rFonts w:hint="default" w:ascii="Times New Roman" w:hAnsi="Times New Roman" w:cs="Times New Roman"/>
          <w:color w:val="000000"/>
          <w:sz w:val="24"/>
          <w:szCs w:val="24"/>
          <w:highlight w:val="none"/>
        </w:rPr>
        <w:t>于202</w:t>
      </w:r>
      <w:r>
        <w:rPr>
          <w:rFonts w:hint="default"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月</w:t>
      </w:r>
      <w:r>
        <w:rPr>
          <w:rFonts w:hint="default" w:ascii="Times New Roman" w:hAnsi="Times New Roman" w:cs="Times New Roman"/>
          <w:color w:val="000000"/>
          <w:sz w:val="24"/>
          <w:szCs w:val="24"/>
          <w:highlight w:val="none"/>
          <w:lang w:val="en-US" w:eastAsia="zh-CN"/>
        </w:rPr>
        <w:t>14</w:t>
      </w:r>
      <w:r>
        <w:rPr>
          <w:rFonts w:hint="default" w:ascii="Times New Roman" w:hAnsi="Times New Roman" w:cs="Times New Roman"/>
          <w:color w:val="000000"/>
          <w:sz w:val="24"/>
          <w:szCs w:val="24"/>
          <w:highlight w:val="none"/>
        </w:rPr>
        <w:t>日</w:t>
      </w:r>
      <w:r>
        <w:rPr>
          <w:rFonts w:hint="default" w:ascii="Times New Roman" w:hAnsi="Times New Roman" w:cs="Times New Roman"/>
          <w:color w:val="000000"/>
          <w:sz w:val="24"/>
          <w:szCs w:val="24"/>
          <w:highlight w:val="none"/>
          <w:lang w:val="en-US" w:eastAsia="zh-CN"/>
        </w:rPr>
        <w:t>-15</w:t>
      </w:r>
      <w:r>
        <w:rPr>
          <w:rFonts w:hint="default" w:ascii="Times New Roman" w:hAnsi="Times New Roman" w:cs="Times New Roman"/>
          <w:color w:val="000000"/>
          <w:sz w:val="24"/>
          <w:szCs w:val="24"/>
          <w:highlight w:val="none"/>
        </w:rPr>
        <w:t>日进行了现场监测</w:t>
      </w:r>
      <w:r>
        <w:rPr>
          <w:rFonts w:hint="default" w:ascii="Times New Roman" w:hAnsi="Times New Roman" w:cs="Times New Roman"/>
          <w:color w:val="000000"/>
          <w:sz w:val="24"/>
          <w:szCs w:val="24"/>
        </w:rPr>
        <w:t>。</w:t>
      </w:r>
    </w:p>
    <w:p>
      <w:pPr>
        <w:adjustRightInd w:val="0"/>
        <w:snapToGrid w:val="0"/>
        <w:spacing w:line="520" w:lineRule="exact"/>
        <w:ind w:firstLine="48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公司针对项目环评报告及批复落实情况，环保设施的建设及运行情况，污染物排放浓度和排放总量达标情况，收集有关技术资料，在调查分析的基础上编制了《信阳市德隆超硬材料有限公司年产5000万克拉高转化率锋利型立方氮化硼单晶项目竣工环境保护验收监测报告》。</w:t>
      </w:r>
    </w:p>
    <w:p>
      <w:pPr>
        <w:adjustRightInd w:val="0"/>
        <w:snapToGrid w:val="0"/>
        <w:spacing w:afterLines="50" w:line="540" w:lineRule="exact"/>
        <w:rPr>
          <w:rFonts w:hint="default" w:ascii="Times New Roman" w:hAnsi="Times New Roman" w:eastAsia="黑体" w:cs="Times New Roman"/>
          <w:color w:val="000000"/>
          <w:sz w:val="28"/>
          <w:szCs w:val="28"/>
        </w:rPr>
      </w:pPr>
      <w:r>
        <w:rPr>
          <w:rFonts w:hint="default" w:ascii="Times New Roman" w:hAnsi="Times New Roman" w:cs="Times New Roman"/>
          <w:color w:val="000000"/>
          <w:sz w:val="24"/>
          <w:szCs w:val="24"/>
        </w:rPr>
        <w:br w:type="page"/>
      </w:r>
      <w:bookmarkStart w:id="2" w:name="_Toc20319"/>
      <w:r>
        <w:rPr>
          <w:rFonts w:hint="default" w:ascii="Times New Roman" w:hAnsi="Times New Roman" w:eastAsia="黑体" w:cs="Times New Roman"/>
          <w:color w:val="000000"/>
          <w:sz w:val="28"/>
          <w:szCs w:val="28"/>
        </w:rPr>
        <w:t>2 验收依据</w:t>
      </w:r>
      <w:bookmarkEnd w:id="2"/>
    </w:p>
    <w:p>
      <w:pPr>
        <w:spacing w:line="520" w:lineRule="exact"/>
        <w:outlineLvl w:val="1"/>
        <w:rPr>
          <w:rFonts w:hint="default" w:ascii="Times New Roman" w:hAnsi="Times New Roman" w:eastAsia="黑体" w:cs="Times New Roman"/>
          <w:bCs/>
          <w:color w:val="000000"/>
          <w:kern w:val="44"/>
          <w:sz w:val="24"/>
          <w:szCs w:val="24"/>
        </w:rPr>
      </w:pPr>
      <w:bookmarkStart w:id="3" w:name="_Toc37525737"/>
      <w:bookmarkStart w:id="4" w:name="_Toc505000376"/>
      <w:bookmarkStart w:id="5" w:name="_Toc508698646"/>
      <w:bookmarkStart w:id="6" w:name="_Toc22349"/>
      <w:r>
        <w:rPr>
          <w:rFonts w:hint="default" w:ascii="Times New Roman" w:hAnsi="Times New Roman" w:eastAsia="黑体" w:cs="Times New Roman"/>
          <w:bCs/>
          <w:color w:val="000000"/>
          <w:kern w:val="44"/>
          <w:sz w:val="24"/>
          <w:szCs w:val="24"/>
        </w:rPr>
        <w:t>2.1建设项目环境保护相关法律、法规和规章制度</w:t>
      </w:r>
      <w:bookmarkEnd w:id="3"/>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（1）《中华人民共和国环境保护法》2014年4月24日修订，2015年1月1日实施；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（2）《中华人民共和国大气污染防治法》2018年10月26日修正版；</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（3）《中华人民共和国水污染防治法》2017年6月27日修正，自2018年1月1日起施行；</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（4）《中华人民共和国环境噪声污染防治法》2018年12月29日实施；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（5）《中华人民共和国固体废物污染环境防治法》2019年9月1日实施；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（6）《建设项目环境保护管理条例》国务院令第682号；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（7）《中华人民共和国环境影响评价法》2018年12月29日实施；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（8）《河南省建设项目环境保护条例》（2016年修正）；</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（9）关于印发河南省2020年大气、水、土壤污染防治攻坚战实施方案的通知（豫环攻坚办[2020]7号）；</w:t>
      </w:r>
    </w:p>
    <w:p>
      <w:pPr>
        <w:spacing w:line="520" w:lineRule="exac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2.2建设项目竣工环境保护验收技术规范</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（1）《建设项目竣工环境保护验收暂行办法》（国环规环评[2017]4号）；</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（2）《建设项目竣工环境保护验收技术指南·污染影响类》（生态保护部公告2018年第9号）；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（3）《污染影响类建设项目重大变动清单（试行）》（环办环评函[2020]688号）；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bCs/>
          <w:sz w:val="24"/>
          <w:szCs w:val="24"/>
        </w:rPr>
        <w:t>（4）《河南省生态环境厅办公室关于规范涉变动污染影响类项目环评与排污许可管理的通知</w:t>
      </w:r>
      <w:r>
        <w:rPr>
          <w:rFonts w:hint="default" w:ascii="Times New Roman" w:hAnsi="Times New Roman" w:cs="Times New Roman"/>
          <w:sz w:val="24"/>
          <w:szCs w:val="24"/>
        </w:rPr>
        <w:t>》（豫环办[2023]4号）</w:t>
      </w:r>
    </w:p>
    <w:p>
      <w:pPr>
        <w:widowControl/>
        <w:spacing w:line="520" w:lineRule="exact"/>
        <w:jc w:val="lef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2.3建设项目环境影响报告书（表）及其审批部门审批决定</w:t>
      </w:r>
    </w:p>
    <w:bookmarkEnd w:id="4"/>
    <w:bookmarkEnd w:id="5"/>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bookmarkStart w:id="7" w:name="_Toc505000377"/>
      <w:bookmarkStart w:id="8" w:name="_Toc508698647"/>
      <w:r>
        <w:rPr>
          <w:rFonts w:hint="default" w:ascii="Times New Roman" w:hAnsi="Times New Roman" w:cs="Times New Roman"/>
          <w:bCs/>
          <w:color w:val="000000"/>
          <w:sz w:val="24"/>
          <w:szCs w:val="24"/>
        </w:rPr>
        <w:t>（1）</w:t>
      </w:r>
      <w:r>
        <w:rPr>
          <w:rFonts w:hint="default" w:ascii="Times New Roman" w:hAnsi="Times New Roman" w:cs="Times New Roman"/>
          <w:color w:val="000000"/>
          <w:sz w:val="24"/>
          <w:szCs w:val="24"/>
        </w:rPr>
        <w:t>《信阳市德隆超硬材料有限公司年产5000万克拉高转化率锋利型立方氮化硼单晶项目环境影响报告表》（报批版）  安徽汇泽通环境技术有限公司  2021年6月；</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（2）</w:t>
      </w:r>
      <w:r>
        <w:rPr>
          <w:rFonts w:hint="default" w:ascii="Times New Roman" w:hAnsi="Times New Roman" w:cs="Times New Roman"/>
          <w:color w:val="000000"/>
          <w:sz w:val="24"/>
          <w:szCs w:val="24"/>
        </w:rPr>
        <w:t>关于《信阳市德隆超硬材料有限公司年产5000万克拉高转化率锋利型立方氮化硼单晶项目环境影响报告表》（报批版）的批复  信阳市生态环境局  信环审[2021]31号  2021年6月30日。</w:t>
      </w:r>
    </w:p>
    <w:bookmarkEnd w:id="7"/>
    <w:bookmarkEnd w:id="8"/>
    <w:p>
      <w:pPr>
        <w:spacing w:line="540" w:lineRule="exact"/>
        <w:ind w:firstLine="480" w:firstLineChars="200"/>
        <w:rPr>
          <w:rFonts w:hint="default" w:ascii="Times New Roman" w:hAnsi="Times New Roman" w:cs="Times New Roman"/>
          <w:color w:val="000000"/>
          <w:kern w:val="10"/>
          <w:sz w:val="24"/>
          <w:szCs w:val="24"/>
          <w:lang w:bidi="he-IL"/>
        </w:rPr>
      </w:pPr>
      <w:r>
        <w:rPr>
          <w:rFonts w:hint="default" w:ascii="Times New Roman" w:hAnsi="Times New Roman" w:cs="Times New Roman"/>
          <w:color w:val="000000"/>
          <w:kern w:val="10"/>
          <w:sz w:val="24"/>
          <w:szCs w:val="24"/>
          <w:lang w:bidi="he-IL"/>
        </w:rPr>
        <w:t>（3）《</w:t>
      </w:r>
      <w:r>
        <w:rPr>
          <w:rFonts w:hint="default" w:ascii="Times New Roman" w:hAnsi="Times New Roman" w:cs="Times New Roman"/>
          <w:color w:val="000000"/>
          <w:sz w:val="24"/>
          <w:szCs w:val="24"/>
        </w:rPr>
        <w:t>信阳市德隆超硬材料有限公司</w:t>
      </w:r>
      <w:r>
        <w:rPr>
          <w:rFonts w:hint="default" w:ascii="Times New Roman" w:hAnsi="Times New Roman" w:cs="Times New Roman"/>
          <w:color w:val="000000"/>
          <w:kern w:val="10"/>
          <w:sz w:val="24"/>
          <w:szCs w:val="24"/>
          <w:lang w:bidi="he-IL"/>
        </w:rPr>
        <w:t>固定污染源排污登记回执》</w:t>
      </w:r>
      <w:r>
        <w:rPr>
          <w:rFonts w:hint="default" w:ascii="Times New Roman" w:hAnsi="Times New Roman" w:cs="Times New Roman"/>
          <w:color w:val="000000"/>
          <w:kern w:val="10"/>
          <w:sz w:val="24"/>
          <w:szCs w:val="24"/>
          <w:highlight w:val="none"/>
          <w:lang w:bidi="he-IL"/>
        </w:rPr>
        <w:t>（</w:t>
      </w:r>
      <w:r>
        <w:rPr>
          <w:rFonts w:hint="default" w:ascii="Times New Roman" w:hAnsi="Times New Roman" w:cs="Times New Roman"/>
          <w:color w:val="000000"/>
          <w:sz w:val="24"/>
          <w:szCs w:val="24"/>
          <w:highlight w:val="none"/>
        </w:rPr>
        <w:t>202</w:t>
      </w:r>
      <w:r>
        <w:rPr>
          <w:rFonts w:hint="default"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default" w:ascii="Times New Roman" w:hAnsi="Times New Roman"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rPr>
        <w:t>月</w:t>
      </w:r>
      <w:r>
        <w:rPr>
          <w:rFonts w:hint="default" w:ascii="Times New Roman" w:hAnsi="Times New Roman" w:cs="Times New Roman"/>
          <w:color w:val="000000"/>
          <w:sz w:val="24"/>
          <w:szCs w:val="24"/>
          <w:highlight w:val="none"/>
          <w:lang w:val="en-US" w:eastAsia="zh-CN"/>
        </w:rPr>
        <w:t>21</w:t>
      </w:r>
      <w:r>
        <w:rPr>
          <w:rFonts w:hint="default" w:ascii="Times New Roman" w:hAnsi="Times New Roman" w:cs="Times New Roman"/>
          <w:color w:val="000000"/>
          <w:sz w:val="24"/>
          <w:szCs w:val="24"/>
          <w:highlight w:val="none"/>
        </w:rPr>
        <w:t>日</w:t>
      </w:r>
      <w:r>
        <w:rPr>
          <w:rFonts w:hint="default" w:ascii="Times New Roman" w:hAnsi="Times New Roman" w:cs="Times New Roman"/>
          <w:color w:val="000000"/>
          <w:kern w:val="10"/>
          <w:sz w:val="24"/>
          <w:szCs w:val="24"/>
          <w:highlight w:val="none"/>
          <w:lang w:bidi="he-IL"/>
        </w:rPr>
        <w:t>）</w:t>
      </w:r>
    </w:p>
    <w:p>
      <w:pPr>
        <w:spacing w:line="540" w:lineRule="exact"/>
        <w:ind w:firstLine="480" w:firstLineChars="200"/>
        <w:rPr>
          <w:rFonts w:hint="default" w:ascii="Times New Roman" w:hAnsi="Times New Roman" w:cs="Times New Roman"/>
          <w:color w:val="000000"/>
          <w:spacing w:val="2"/>
          <w:sz w:val="24"/>
          <w:szCs w:val="24"/>
        </w:rPr>
      </w:pPr>
      <w:r>
        <w:rPr>
          <w:rFonts w:hint="default" w:ascii="Times New Roman" w:hAnsi="Times New Roman" w:cs="Times New Roman"/>
          <w:color w:val="000000"/>
          <w:kern w:val="10"/>
          <w:sz w:val="24"/>
          <w:szCs w:val="24"/>
          <w:lang w:bidi="he-IL"/>
        </w:rPr>
        <w:t>（4）</w:t>
      </w:r>
      <w:r>
        <w:rPr>
          <w:rFonts w:hint="default" w:ascii="Times New Roman" w:hAnsi="Times New Roman" w:cs="Times New Roman"/>
          <w:bCs/>
          <w:color w:val="000000"/>
          <w:sz w:val="24"/>
          <w:szCs w:val="24"/>
          <w:highlight w:val="none"/>
        </w:rPr>
        <w:t>河南</w:t>
      </w:r>
      <w:r>
        <w:rPr>
          <w:rFonts w:hint="default" w:ascii="Times New Roman" w:hAnsi="Times New Roman" w:cs="Times New Roman"/>
          <w:bCs/>
          <w:color w:val="000000"/>
          <w:sz w:val="24"/>
          <w:szCs w:val="24"/>
          <w:highlight w:val="none"/>
          <w:lang w:eastAsia="zh-CN"/>
        </w:rPr>
        <w:t>永飞检测科技</w:t>
      </w:r>
      <w:r>
        <w:rPr>
          <w:rFonts w:hint="default" w:ascii="Times New Roman" w:hAnsi="Times New Roman" w:cs="Times New Roman"/>
          <w:bCs/>
          <w:color w:val="000000"/>
          <w:sz w:val="24"/>
          <w:szCs w:val="24"/>
          <w:highlight w:val="none"/>
        </w:rPr>
        <w:t>有限公司</w:t>
      </w:r>
      <w:r>
        <w:rPr>
          <w:rFonts w:hint="default" w:ascii="Times New Roman" w:hAnsi="Times New Roman" w:cs="Times New Roman"/>
          <w:color w:val="000000"/>
          <w:spacing w:val="2"/>
          <w:sz w:val="24"/>
          <w:szCs w:val="24"/>
          <w:highlight w:val="none"/>
        </w:rPr>
        <w:t>出具的</w:t>
      </w:r>
      <w:r>
        <w:rPr>
          <w:rFonts w:hint="default" w:ascii="Times New Roman" w:hAnsi="Times New Roman" w:cs="Times New Roman"/>
          <w:color w:val="000000"/>
          <w:sz w:val="24"/>
          <w:szCs w:val="24"/>
          <w:highlight w:val="none"/>
        </w:rPr>
        <w:t>《信阳市德隆超硬材料有限公司</w:t>
      </w:r>
      <w:r>
        <w:rPr>
          <w:rFonts w:hint="default" w:ascii="Times New Roman" w:hAnsi="Times New Roman" w:cs="Times New Roman"/>
          <w:color w:val="000000"/>
          <w:sz w:val="24"/>
          <w:szCs w:val="24"/>
          <w:highlight w:val="none"/>
          <w:lang w:eastAsia="zh-CN"/>
        </w:rPr>
        <w:t>废气、废水、噪声</w:t>
      </w:r>
      <w:r>
        <w:rPr>
          <w:rFonts w:hint="default" w:ascii="Times New Roman" w:hAnsi="Times New Roman" w:cs="Times New Roman"/>
          <w:color w:val="000000"/>
          <w:sz w:val="24"/>
          <w:szCs w:val="24"/>
          <w:highlight w:val="none"/>
        </w:rPr>
        <w:t>检测报告》（202</w:t>
      </w:r>
      <w:r>
        <w:rPr>
          <w:rFonts w:hint="default"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月2</w:t>
      </w:r>
      <w:r>
        <w:rPr>
          <w:rFonts w:hint="default"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rPr>
        <w:t>日）</w:t>
      </w:r>
      <w:r>
        <w:rPr>
          <w:rFonts w:hint="default" w:ascii="Times New Roman" w:hAnsi="Times New Roman" w:cs="Times New Roman"/>
          <w:color w:val="000000"/>
          <w:spacing w:val="2"/>
          <w:sz w:val="24"/>
          <w:szCs w:val="24"/>
          <w:highlight w:val="none"/>
        </w:rPr>
        <w:t>。</w:t>
      </w:r>
    </w:p>
    <w:p>
      <w:pPr>
        <w:spacing w:line="540" w:lineRule="exact"/>
        <w:ind w:firstLine="488" w:firstLineChars="200"/>
        <w:rPr>
          <w:rFonts w:hint="default" w:ascii="Times New Roman" w:hAnsi="Times New Roman" w:cs="Times New Roman"/>
          <w:color w:val="000000"/>
          <w:spacing w:val="2"/>
          <w:sz w:val="24"/>
          <w:szCs w:val="24"/>
        </w:rPr>
      </w:pPr>
    </w:p>
    <w:p>
      <w:pPr>
        <w:spacing w:line="520" w:lineRule="exact"/>
        <w:rPr>
          <w:rFonts w:hint="default" w:ascii="Times New Roman" w:hAnsi="Times New Roman" w:eastAsia="黑体" w:cs="Times New Roman"/>
          <w:color w:val="000000"/>
          <w:sz w:val="28"/>
          <w:szCs w:val="28"/>
        </w:rPr>
      </w:pPr>
      <w:r>
        <w:rPr>
          <w:rFonts w:hint="default" w:ascii="Times New Roman" w:hAnsi="Times New Roman" w:cs="Times New Roman"/>
          <w:color w:val="000000"/>
          <w:sz w:val="24"/>
          <w:szCs w:val="24"/>
        </w:rPr>
        <w:br w:type="page"/>
      </w:r>
      <w:bookmarkEnd w:id="6"/>
      <w:bookmarkStart w:id="9" w:name="_Toc3491"/>
      <w:r>
        <w:rPr>
          <w:rFonts w:hint="default" w:ascii="Times New Roman" w:hAnsi="Times New Roman" w:eastAsia="黑体" w:cs="Times New Roman"/>
          <w:color w:val="000000"/>
          <w:sz w:val="28"/>
          <w:szCs w:val="28"/>
        </w:rPr>
        <w:t>3项目建设情况</w:t>
      </w:r>
      <w:bookmarkEnd w:id="9"/>
    </w:p>
    <w:p>
      <w:pPr>
        <w:pStyle w:val="5"/>
        <w:keepNext w:val="0"/>
        <w:keepLines w:val="0"/>
        <w:adjustRightInd w:val="0"/>
        <w:snapToGrid w:val="0"/>
        <w:spacing w:line="520" w:lineRule="exact"/>
        <w:rPr>
          <w:rFonts w:hint="default" w:ascii="Times New Roman" w:hAnsi="Times New Roman" w:cs="Times New Roman"/>
          <w:color w:val="000000"/>
          <w:sz w:val="24"/>
          <w:szCs w:val="24"/>
        </w:rPr>
      </w:pPr>
      <w:bookmarkStart w:id="10" w:name="_Toc32091"/>
      <w:r>
        <w:rPr>
          <w:rFonts w:hint="default" w:ascii="Times New Roman" w:hAnsi="Times New Roman" w:cs="Times New Roman"/>
          <w:color w:val="000000"/>
          <w:sz w:val="24"/>
          <w:szCs w:val="24"/>
        </w:rPr>
        <w:t>3.1地理位置及平面布置</w:t>
      </w:r>
      <w:bookmarkEnd w:id="10"/>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信阳市德隆超硬材料有限公司年产5000万克拉高转化率锋利型立方氮化硼单晶项目建设地点位于信阳市产业集聚区信阳高新区工五路与工十四路交叉口，</w:t>
      </w:r>
      <w:r>
        <w:rPr>
          <w:rFonts w:hint="default" w:ascii="Times New Roman" w:hAnsi="Times New Roman" w:cs="Times New Roman"/>
          <w:color w:val="000000"/>
          <w:sz w:val="24"/>
          <w:szCs w:val="24"/>
        </w:rPr>
        <w:t>项目中心点坐标为经度</w:t>
      </w:r>
      <w:r>
        <w:rPr>
          <w:rFonts w:hint="default" w:ascii="Times New Roman" w:hAnsi="Times New Roman" w:cs="Times New Roman"/>
          <w:sz w:val="24"/>
          <w:szCs w:val="24"/>
        </w:rPr>
        <w:t>114度11分8.903秒，</w:t>
      </w:r>
      <w:r>
        <w:rPr>
          <w:rFonts w:hint="default" w:ascii="Times New Roman" w:hAnsi="Times New Roman" w:cs="Times New Roman"/>
          <w:color w:val="000000"/>
          <w:sz w:val="24"/>
          <w:szCs w:val="24"/>
        </w:rPr>
        <w:t>纬度</w:t>
      </w:r>
      <w:r>
        <w:rPr>
          <w:rFonts w:hint="default" w:ascii="Times New Roman" w:hAnsi="Times New Roman" w:cs="Times New Roman"/>
          <w:sz w:val="24"/>
          <w:szCs w:val="24"/>
        </w:rPr>
        <w:t>32度8分58.605秒</w:t>
      </w:r>
      <w:r>
        <w:rPr>
          <w:rFonts w:hint="default" w:ascii="Times New Roman" w:hAnsi="Times New Roman" w:cs="Times New Roman"/>
          <w:color w:val="000000"/>
          <w:sz w:val="24"/>
          <w:szCs w:val="24"/>
        </w:rPr>
        <w:t>。</w:t>
      </w:r>
      <w:r>
        <w:rPr>
          <w:rFonts w:hint="default" w:ascii="Times New Roman" w:hAnsi="Times New Roman" w:cs="Times New Roman"/>
          <w:sz w:val="24"/>
          <w:szCs w:val="24"/>
        </w:rPr>
        <w:t>项目所在厂区西邻工十四路，南侧为微卡手机，西侧隔路为信阳皇马电动车有限公司和河南天扬光电科技有限公司，北侧为万华生态板业股份有限公司，</w:t>
      </w:r>
      <w:r>
        <w:rPr>
          <w:rFonts w:hint="default" w:ascii="Times New Roman" w:hAnsi="Times New Roman" w:cs="Times New Roman"/>
          <w:sz w:val="24"/>
          <w:szCs w:val="24"/>
          <w:shd w:val="clear" w:color="auto" w:fill="FFFFFF"/>
        </w:rPr>
        <w:t>东侧10m为周家村</w:t>
      </w:r>
      <w:r>
        <w:rPr>
          <w:rFonts w:hint="default" w:ascii="Times New Roman" w:hAnsi="Times New Roman" w:cs="Times New Roman"/>
          <w:sz w:val="24"/>
          <w:szCs w:val="24"/>
        </w:rPr>
        <w:t>。</w:t>
      </w:r>
    </w:p>
    <w:p>
      <w:pPr>
        <w:snapToGrid w:val="0"/>
        <w:spacing w:line="520" w:lineRule="exact"/>
        <w:ind w:firstLine="480" w:firstLineChars="200"/>
        <w:rPr>
          <w:rFonts w:hint="default" w:ascii="Times New Roman" w:hAnsi="Times New Roman" w:cs="Times New Roman"/>
          <w:color w:val="000000"/>
          <w:kern w:val="0"/>
          <w:sz w:val="24"/>
        </w:rPr>
      </w:pPr>
      <w:r>
        <w:rPr>
          <w:rFonts w:hint="default" w:ascii="Times New Roman" w:hAnsi="Times New Roman" w:cs="Times New Roman"/>
          <w:sz w:val="24"/>
        </w:rPr>
        <w:t>项目地理位置见附图1，</w:t>
      </w:r>
      <w:r>
        <w:rPr>
          <w:rFonts w:hint="default" w:ascii="Times New Roman" w:hAnsi="Times New Roman" w:cs="Times New Roman"/>
          <w:kern w:val="0"/>
          <w:sz w:val="24"/>
        </w:rPr>
        <w:t>项目周围环境示意图</w:t>
      </w:r>
      <w:bookmarkStart w:id="11" w:name="_Toc11995"/>
      <w:r>
        <w:rPr>
          <w:rFonts w:hint="default" w:ascii="Times New Roman" w:hAnsi="Times New Roman" w:cs="Times New Roman"/>
          <w:kern w:val="0"/>
          <w:sz w:val="24"/>
        </w:rPr>
        <w:t>及环境保护目标见附图2。</w:t>
      </w:r>
    </w:p>
    <w:p>
      <w:pPr>
        <w:spacing w:line="52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本项目</w:t>
      </w:r>
      <w:r>
        <w:rPr>
          <w:rFonts w:hint="default" w:ascii="Times New Roman" w:hAnsi="Times New Roman" w:cs="Times New Roman"/>
          <w:sz w:val="24"/>
          <w:lang w:eastAsia="zh-CN"/>
        </w:rPr>
        <w:t>环评时期计划利用厂区内</w:t>
      </w:r>
      <w:r>
        <w:rPr>
          <w:rFonts w:hint="default" w:ascii="Times New Roman" w:hAnsi="Times New Roman" w:cs="Times New Roman"/>
          <w:sz w:val="24"/>
          <w:lang w:val="en-US" w:eastAsia="zh-CN"/>
        </w:rPr>
        <w:t>5#、7#车间建设。7#车间布置</w:t>
      </w:r>
      <w:r>
        <w:rPr>
          <w:rFonts w:hint="default" w:ascii="Times New Roman" w:hAnsi="Times New Roman" w:cs="Times New Roman"/>
          <w:sz w:val="24"/>
        </w:rPr>
        <w:t>压机合成工序，</w:t>
      </w:r>
      <w:r>
        <w:rPr>
          <w:rFonts w:hint="default" w:ascii="Times New Roman" w:hAnsi="Times New Roman" w:cs="Times New Roman"/>
          <w:sz w:val="24"/>
          <w:lang w:val="en-US" w:eastAsia="zh-CN"/>
        </w:rPr>
        <w:t>5#车间南半侧</w:t>
      </w:r>
      <w:r>
        <w:rPr>
          <w:rFonts w:hint="default" w:ascii="Times New Roman" w:hAnsi="Times New Roman" w:cs="Times New Roman"/>
          <w:sz w:val="24"/>
        </w:rPr>
        <w:t>布置混料、制棒等前道工序，</w:t>
      </w:r>
      <w:r>
        <w:rPr>
          <w:rFonts w:hint="default" w:ascii="Times New Roman" w:hAnsi="Times New Roman" w:cs="Times New Roman"/>
          <w:sz w:val="24"/>
          <w:lang w:eastAsia="zh-CN"/>
        </w:rPr>
        <w:t>北半侧布置</w:t>
      </w:r>
      <w:r>
        <w:rPr>
          <w:rFonts w:hint="default" w:ascii="Times New Roman" w:hAnsi="Times New Roman" w:cs="Times New Roman"/>
          <w:sz w:val="24"/>
        </w:rPr>
        <w:t>摇床、</w:t>
      </w:r>
      <w:r>
        <w:rPr>
          <w:rFonts w:hint="default" w:ascii="Times New Roman" w:hAnsi="Times New Roman" w:cs="Times New Roman"/>
          <w:sz w:val="24"/>
          <w:lang w:eastAsia="zh-CN"/>
        </w:rPr>
        <w:t>煮酸煮碱除杂提纯工序、</w:t>
      </w:r>
      <w:r>
        <w:rPr>
          <w:rFonts w:hint="default" w:ascii="Times New Roman" w:hAnsi="Times New Roman" w:cs="Times New Roman"/>
          <w:sz w:val="24"/>
        </w:rPr>
        <w:t>筛分选型等后处理工序</w:t>
      </w:r>
      <w:r>
        <w:rPr>
          <w:rFonts w:hint="default" w:ascii="Times New Roman" w:hAnsi="Times New Roman" w:cs="Times New Roman"/>
          <w:sz w:val="24"/>
          <w:lang w:eastAsia="zh-CN"/>
        </w:rPr>
        <w:t>。项目实际建设时，为改善</w:t>
      </w:r>
      <w:r>
        <w:rPr>
          <w:rFonts w:hint="default" w:ascii="Times New Roman" w:hAnsi="Times New Roman" w:cs="Times New Roman"/>
          <w:sz w:val="24"/>
          <w:lang w:val="en-US" w:eastAsia="zh-CN"/>
        </w:rPr>
        <w:t>5#车间生产环境，且便于含酸废气负压收集，</w:t>
      </w:r>
      <w:r>
        <w:rPr>
          <w:rFonts w:hint="default" w:ascii="Times New Roman" w:hAnsi="Times New Roman" w:cs="Times New Roman"/>
          <w:sz w:val="24"/>
          <w:lang w:eastAsia="zh-CN"/>
        </w:rPr>
        <w:t>调整车间布局，将含酸废气产污工序单独布置在</w:t>
      </w:r>
      <w:r>
        <w:rPr>
          <w:rFonts w:hint="default" w:ascii="Times New Roman" w:hAnsi="Times New Roman" w:cs="Times New Roman"/>
          <w:sz w:val="24"/>
        </w:rPr>
        <w:t>两座车间</w:t>
      </w:r>
      <w:r>
        <w:rPr>
          <w:rFonts w:hint="default" w:ascii="Times New Roman" w:hAnsi="Times New Roman" w:cs="Times New Roman"/>
          <w:sz w:val="24"/>
          <w:lang w:eastAsia="zh-CN"/>
        </w:rPr>
        <w:t>外</w:t>
      </w:r>
      <w:r>
        <w:rPr>
          <w:rFonts w:hint="default" w:ascii="Times New Roman" w:hAnsi="Times New Roman" w:cs="Times New Roman"/>
          <w:sz w:val="24"/>
        </w:rPr>
        <w:t>北侧的提纯车间</w:t>
      </w:r>
      <w:r>
        <w:rPr>
          <w:rFonts w:hint="default" w:ascii="Times New Roman" w:hAnsi="Times New Roman" w:cs="Times New Roman"/>
          <w:sz w:val="24"/>
          <w:lang w:eastAsia="zh-CN"/>
        </w:rPr>
        <w:t>。</w:t>
      </w:r>
      <w:r>
        <w:rPr>
          <w:rFonts w:hint="default" w:ascii="Times New Roman" w:hAnsi="Times New Roman" w:cs="Times New Roman"/>
          <w:sz w:val="24"/>
        </w:rPr>
        <w:t>5#车间南半侧布置混料、制棒等前道工序，北半侧布置摇床、筛分选型等后处理工序；7#车间</w:t>
      </w:r>
      <w:r>
        <w:rPr>
          <w:rFonts w:hint="default" w:ascii="Times New Roman" w:hAnsi="Times New Roman" w:cs="Times New Roman"/>
          <w:sz w:val="24"/>
          <w:lang w:eastAsia="zh-CN"/>
        </w:rPr>
        <w:t>西</w:t>
      </w:r>
      <w:r>
        <w:rPr>
          <w:rFonts w:hint="default" w:ascii="Times New Roman" w:hAnsi="Times New Roman" w:cs="Times New Roman"/>
          <w:sz w:val="24"/>
        </w:rPr>
        <w:t>半侧布置压机合成工序，北侧提纯车间布置</w:t>
      </w:r>
      <w:r>
        <w:rPr>
          <w:rFonts w:hint="default" w:ascii="Times New Roman" w:hAnsi="Times New Roman" w:cs="Times New Roman"/>
          <w:sz w:val="24"/>
          <w:lang w:eastAsia="zh-CN"/>
        </w:rPr>
        <w:t>泡料、泡酸、</w:t>
      </w:r>
      <w:r>
        <w:rPr>
          <w:rFonts w:hint="default" w:ascii="Times New Roman" w:hAnsi="Times New Roman" w:cs="Times New Roman"/>
          <w:sz w:val="24"/>
        </w:rPr>
        <w:t>煮酸、</w:t>
      </w:r>
      <w:r>
        <w:rPr>
          <w:rFonts w:hint="default" w:ascii="Times New Roman" w:hAnsi="Times New Roman" w:cs="Times New Roman"/>
          <w:sz w:val="24"/>
          <w:lang w:eastAsia="zh-CN"/>
        </w:rPr>
        <w:t>洗酸</w:t>
      </w:r>
      <w:r>
        <w:rPr>
          <w:rFonts w:hint="default" w:ascii="Times New Roman" w:hAnsi="Times New Roman" w:cs="Times New Roman"/>
          <w:sz w:val="24"/>
        </w:rPr>
        <w:t>等提纯除杂工序。</w:t>
      </w:r>
      <w:r>
        <w:rPr>
          <w:rFonts w:hint="default" w:ascii="Times New Roman" w:hAnsi="Times New Roman" w:cs="Times New Roman"/>
          <w:sz w:val="24"/>
          <w:lang w:eastAsia="zh-CN"/>
        </w:rPr>
        <w:t>提纯车间密闭且成微负压环境，泡料产生的氨气及煮酸产生的含酸废气密闭负压收集后引入酸雾喷淋塔处理后达标排放。</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企业厂区车间布局合理，满足废气治理设施共用条件。各车间功能分区明确，生产工艺流程衔接合理、布局紧凑，生产区、人流通道分离，车间平面布置合理。</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w:t>
      </w:r>
      <w:r>
        <w:rPr>
          <w:rFonts w:hint="default" w:ascii="Times New Roman" w:hAnsi="Times New Roman" w:cs="Times New Roman"/>
          <w:sz w:val="24"/>
          <w:lang w:eastAsia="zh-CN"/>
        </w:rPr>
        <w:t>环评时期及实际建设</w:t>
      </w:r>
      <w:r>
        <w:rPr>
          <w:rFonts w:hint="default" w:ascii="Times New Roman" w:hAnsi="Times New Roman" w:cs="Times New Roman"/>
          <w:sz w:val="24"/>
        </w:rPr>
        <w:t>厂区及车间平面布置图详见附图3。</w:t>
      </w:r>
    </w:p>
    <w:p>
      <w:pPr>
        <w:adjustRightInd w:val="0"/>
        <w:snapToGrid w:val="0"/>
        <w:spacing w:line="520" w:lineRule="exac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3.2 建设内容</w:t>
      </w:r>
      <w:bookmarkEnd w:id="11"/>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3.2.1企业基本情况</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企业基本情况见表3.2-1。</w:t>
      </w:r>
    </w:p>
    <w:p>
      <w:pPr>
        <w:spacing w:line="520" w:lineRule="exact"/>
        <w:ind w:firstLine="480" w:firstLineChars="200"/>
        <w:rPr>
          <w:rFonts w:hint="default" w:ascii="Times New Roman" w:hAnsi="Times New Roman" w:cs="Times New Roman"/>
          <w:sz w:val="24"/>
          <w:szCs w:val="24"/>
        </w:rPr>
      </w:pPr>
    </w:p>
    <w:p>
      <w:pPr>
        <w:spacing w:line="520" w:lineRule="exact"/>
        <w:ind w:firstLine="480" w:firstLineChars="200"/>
        <w:rPr>
          <w:rFonts w:hint="default" w:ascii="Times New Roman" w:hAnsi="Times New Roman" w:cs="Times New Roman"/>
          <w:sz w:val="24"/>
          <w:szCs w:val="24"/>
        </w:rPr>
      </w:pPr>
    </w:p>
    <w:p>
      <w:pPr>
        <w:spacing w:line="520" w:lineRule="exact"/>
        <w:ind w:firstLine="360" w:firstLineChars="15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表3.2-1            企业基本情况一览表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7"/>
        <w:gridCol w:w="1128"/>
        <w:gridCol w:w="2920"/>
        <w:gridCol w:w="2834"/>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序号</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rPr>
            </w:pPr>
            <w:r>
              <w:rPr>
                <w:rFonts w:hint="default" w:ascii="Times New Roman" w:hAnsi="Times New Roman" w:cs="Times New Roman"/>
              </w:rPr>
              <w:t>环评报告及批复内容</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实际建设内容</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项目名称</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信阳市德隆超硬材料有限公司年产5000万克拉高转化率锋利型立方氮化硼单晶项目</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信阳市德隆超硬材料有限公司年产5000万克拉高转化率锋利型立方氮化硼单晶项目</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2</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建设单位</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3</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项目性质</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改建</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改建</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4</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总投资</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2000万元</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highlight w:val="yellow"/>
              </w:rPr>
            </w:pPr>
            <w:r>
              <w:rPr>
                <w:rFonts w:hint="default" w:ascii="Times New Roman" w:hAnsi="Times New Roman" w:cs="Times New Roman"/>
                <w:szCs w:val="21"/>
                <w:highlight w:val="none"/>
                <w:lang w:val="en-US" w:eastAsia="zh-CN"/>
              </w:rPr>
              <w:t>16</w:t>
            </w:r>
            <w:r>
              <w:rPr>
                <w:rFonts w:hint="default" w:ascii="Times New Roman" w:hAnsi="Times New Roman" w:cs="Times New Roman"/>
                <w:szCs w:val="21"/>
                <w:highlight w:val="none"/>
              </w:rPr>
              <w:t>00万元</w:t>
            </w:r>
          </w:p>
        </w:tc>
        <w:tc>
          <w:tcPr>
            <w:tcW w:w="612" w:type="pct"/>
            <w:vMerge w:val="restart"/>
            <w:tcBorders>
              <w:top w:val="single" w:color="000000" w:sz="4" w:space="0"/>
              <w:left w:val="nil"/>
              <w:right w:val="single" w:color="000000" w:sz="4" w:space="0"/>
            </w:tcBorders>
            <w:vAlign w:val="center"/>
          </w:tcPr>
          <w:p>
            <w:pPr>
              <w:spacing w:line="400" w:lineRule="exact"/>
              <w:jc w:val="center"/>
              <w:rPr>
                <w:rFonts w:hint="default" w:ascii="Times New Roman" w:hAnsi="Times New Roman" w:cs="Times New Roman"/>
                <w:szCs w:val="21"/>
                <w:highlight w:val="yellow"/>
              </w:rPr>
            </w:pPr>
            <w:r>
              <w:rPr>
                <w:rFonts w:hint="default" w:ascii="Times New Roman" w:hAnsi="Times New Roman" w:cs="Times New Roman"/>
              </w:rPr>
              <w:t>实际投资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5</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环保投资</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36万元</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highlight w:val="yellow"/>
              </w:rPr>
            </w:pPr>
            <w:r>
              <w:rPr>
                <w:rFonts w:hint="default" w:ascii="Times New Roman" w:hAnsi="Times New Roman" w:cs="Times New Roman"/>
                <w:szCs w:val="21"/>
              </w:rPr>
              <w:t>36万元</w:t>
            </w:r>
          </w:p>
        </w:tc>
        <w:tc>
          <w:tcPr>
            <w:tcW w:w="612" w:type="pct"/>
            <w:vMerge w:val="continue"/>
            <w:tcBorders>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6</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厂址位置</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 w:val="18"/>
                <w:szCs w:val="18"/>
              </w:rPr>
            </w:pPr>
            <w:r>
              <w:rPr>
                <w:rFonts w:hint="default" w:ascii="Times New Roman" w:hAnsi="Times New Roman" w:cs="Times New Roman"/>
                <w:kern w:val="0"/>
                <w:szCs w:val="20"/>
              </w:rPr>
              <w:t>信阳市产业集聚区信阳高新区工五路与工十四路交叉口</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 w:val="18"/>
                <w:szCs w:val="18"/>
              </w:rPr>
            </w:pPr>
            <w:r>
              <w:rPr>
                <w:rFonts w:hint="default" w:ascii="Times New Roman" w:hAnsi="Times New Roman" w:cs="Times New Roman"/>
                <w:kern w:val="0"/>
                <w:szCs w:val="20"/>
              </w:rPr>
              <w:t>信阳市产业集聚区信阳高新区工五路与工十四路交叉口</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7</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建筑面积</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color w:val="000000"/>
                <w:szCs w:val="21"/>
              </w:rPr>
              <w:t>利用现有车间建设，不新增占地</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color w:val="000000"/>
                <w:szCs w:val="21"/>
              </w:rPr>
              <w:t>利用现有车间建设，不新增占地</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8</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建设规模</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0"/>
              </w:rPr>
            </w:pPr>
            <w:r>
              <w:rPr>
                <w:rFonts w:hint="default" w:ascii="Times New Roman" w:hAnsi="Times New Roman" w:cs="Times New Roman"/>
                <w:kern w:val="0"/>
                <w:szCs w:val="20"/>
              </w:rPr>
              <w:t>年产立方氮化硼单晶5000万克拉</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0"/>
                <w:highlight w:val="yellow"/>
              </w:rPr>
            </w:pPr>
            <w:r>
              <w:rPr>
                <w:rFonts w:hint="default" w:ascii="Times New Roman" w:hAnsi="Times New Roman" w:cs="Times New Roman"/>
                <w:kern w:val="0"/>
                <w:szCs w:val="20"/>
                <w:highlight w:val="none"/>
              </w:rPr>
              <w:t>年产立方氮化硼单晶</w:t>
            </w:r>
            <w:r>
              <w:rPr>
                <w:rFonts w:hint="default" w:ascii="Times New Roman" w:hAnsi="Times New Roman" w:cs="Times New Roman"/>
                <w:kern w:val="0"/>
                <w:szCs w:val="20"/>
                <w:highlight w:val="none"/>
                <w:lang w:val="en-US" w:eastAsia="zh-CN"/>
              </w:rPr>
              <w:t>3500</w:t>
            </w:r>
            <w:r>
              <w:rPr>
                <w:rFonts w:hint="default" w:ascii="Times New Roman" w:hAnsi="Times New Roman" w:cs="Times New Roman"/>
                <w:kern w:val="0"/>
                <w:szCs w:val="20"/>
                <w:highlight w:val="none"/>
              </w:rPr>
              <w:t>万克拉</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350" w:type="pct"/>
            <w:tcBorders>
              <w:top w:val="single" w:color="000000" w:sz="4" w:space="0"/>
              <w:left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9</w:t>
            </w:r>
          </w:p>
        </w:tc>
        <w:tc>
          <w:tcPr>
            <w:tcW w:w="662" w:type="pct"/>
            <w:tcBorders>
              <w:top w:val="single" w:color="000000" w:sz="4" w:space="0"/>
              <w:left w:val="nil"/>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生产工艺</w:t>
            </w:r>
          </w:p>
        </w:tc>
        <w:tc>
          <w:tcPr>
            <w:tcW w:w="1713" w:type="pct"/>
            <w:tcBorders>
              <w:top w:val="single" w:color="000000" w:sz="4" w:space="0"/>
              <w:left w:val="nil"/>
              <w:right w:val="single" w:color="000000" w:sz="4" w:space="0"/>
            </w:tcBorders>
            <w:vAlign w:val="center"/>
          </w:tcPr>
          <w:p>
            <w:pPr>
              <w:spacing w:line="400" w:lineRule="exact"/>
              <w:jc w:val="left"/>
              <w:rPr>
                <w:rFonts w:hint="default" w:ascii="Times New Roman" w:hAnsi="Times New Roman" w:cs="Times New Roman"/>
              </w:rPr>
            </w:pPr>
            <w:r>
              <w:rPr>
                <w:rFonts w:hint="default" w:ascii="Times New Roman" w:hAnsi="Times New Roman" w:cs="Times New Roman"/>
              </w:rPr>
              <w:t>单晶产品：金属板—触媒—触媒与六方氮化硼混合配料—压棒—组装合成—浸泡—摇床—烘干—球磨—煮碱—洗碱—煮酸—洗酸—烘干—筛分—选型—包装入库；</w:t>
            </w:r>
          </w:p>
        </w:tc>
        <w:tc>
          <w:tcPr>
            <w:tcW w:w="1663" w:type="pct"/>
            <w:tcBorders>
              <w:top w:val="single" w:color="000000" w:sz="4" w:space="0"/>
              <w:left w:val="nil"/>
              <w:right w:val="single" w:color="000000" w:sz="4" w:space="0"/>
            </w:tcBorders>
            <w:vAlign w:val="center"/>
          </w:tcPr>
          <w:p>
            <w:pPr>
              <w:spacing w:line="400" w:lineRule="exact"/>
              <w:jc w:val="left"/>
              <w:rPr>
                <w:rFonts w:hint="default" w:ascii="Times New Roman" w:hAnsi="Times New Roman" w:cs="Times New Roman"/>
                <w:szCs w:val="24"/>
              </w:rPr>
            </w:pPr>
            <w:r>
              <w:rPr>
                <w:rFonts w:hint="default" w:ascii="Times New Roman" w:hAnsi="Times New Roman" w:cs="Times New Roman"/>
              </w:rPr>
              <w:t>单晶产品：金属板—触媒—触媒与六方氮化硼混合配料—压棒—组装合成—浸泡—摇床—烘干—球磨—</w:t>
            </w:r>
            <w:r>
              <w:rPr>
                <w:rFonts w:hint="default" w:ascii="Times New Roman" w:hAnsi="Times New Roman" w:cs="Times New Roman"/>
                <w:lang w:eastAsia="zh-CN"/>
              </w:rPr>
              <w:t>泡酸</w:t>
            </w:r>
            <w:r>
              <w:rPr>
                <w:rFonts w:hint="default" w:ascii="Times New Roman" w:hAnsi="Times New Roman" w:cs="Times New Roman"/>
              </w:rPr>
              <w:t>—</w:t>
            </w:r>
            <w:r>
              <w:rPr>
                <w:rFonts w:hint="default" w:ascii="Times New Roman" w:hAnsi="Times New Roman" w:cs="Times New Roman"/>
                <w:lang w:eastAsia="zh-CN"/>
              </w:rPr>
              <w:t>摇床—烘干—</w:t>
            </w:r>
            <w:r>
              <w:rPr>
                <w:rFonts w:hint="default" w:ascii="Times New Roman" w:hAnsi="Times New Roman" w:cs="Times New Roman"/>
              </w:rPr>
              <w:t>煮酸—洗酸—烘干—筛分—选型—包装入库；</w:t>
            </w:r>
          </w:p>
        </w:tc>
        <w:tc>
          <w:tcPr>
            <w:tcW w:w="612" w:type="pct"/>
            <w:tcBorders>
              <w:top w:val="single" w:color="000000" w:sz="4" w:space="0"/>
              <w:left w:val="nil"/>
              <w:right w:val="single" w:color="000000" w:sz="4" w:space="0"/>
            </w:tcBorders>
            <w:vAlign w:val="center"/>
          </w:tcPr>
          <w:p>
            <w:pPr>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泡酸工序替代煮碱、洗碱工序，与环评不一致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10</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劳动定员</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不新增劳动定员，依托现有工程劳动定员30人</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不新增劳动定员，依托现有工程劳动定员30人</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11</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工作制度</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年工作300天，8h/d。</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年工作300天，</w:t>
            </w:r>
            <w:r>
              <w:rPr>
                <w:rFonts w:hint="default" w:ascii="Times New Roman" w:hAnsi="Times New Roman" w:cs="Times New Roman"/>
                <w:szCs w:val="21"/>
                <w:lang w:val="en-US" w:eastAsia="zh-CN"/>
              </w:rPr>
              <w:t>16</w:t>
            </w:r>
            <w:r>
              <w:rPr>
                <w:rFonts w:hint="default" w:ascii="Times New Roman" w:hAnsi="Times New Roman" w:cs="Times New Roman"/>
                <w:szCs w:val="21"/>
              </w:rPr>
              <w:t>h/d。</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与环评</w:t>
            </w:r>
            <w:r>
              <w:rPr>
                <w:rFonts w:hint="default" w:ascii="Times New Roman" w:hAnsi="Times New Roman" w:cs="Times New Roman"/>
                <w:szCs w:val="21"/>
                <w:lang w:eastAsia="zh-CN"/>
              </w:rPr>
              <w:t>不</w:t>
            </w:r>
            <w:r>
              <w:rPr>
                <w:rFonts w:hint="default" w:ascii="Times New Roman" w:hAnsi="Times New Roman" w:cs="Times New Roman"/>
                <w:szCs w:val="21"/>
              </w:rPr>
              <w:t>一致</w:t>
            </w:r>
          </w:p>
        </w:tc>
      </w:tr>
    </w:tbl>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3.2.2项目建设内容</w:t>
      </w:r>
    </w:p>
    <w:p>
      <w:pPr>
        <w:spacing w:line="52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项目实际建设内容见表3.2-2。</w:t>
      </w:r>
    </w:p>
    <w:p>
      <w:pPr>
        <w:spacing w:line="520" w:lineRule="exact"/>
        <w:ind w:firstLine="360" w:firstLineChars="150"/>
        <w:rPr>
          <w:rFonts w:hint="default" w:ascii="Times New Roman" w:hAnsi="Times New Roman" w:cs="Times New Roman"/>
          <w:sz w:val="24"/>
          <w:szCs w:val="24"/>
        </w:rPr>
      </w:pPr>
    </w:p>
    <w:p>
      <w:pPr>
        <w:spacing w:line="520" w:lineRule="exact"/>
        <w:ind w:firstLine="360" w:firstLineChars="150"/>
        <w:rPr>
          <w:rFonts w:hint="default" w:ascii="Times New Roman" w:hAnsi="Times New Roman" w:cs="Times New Roman"/>
          <w:sz w:val="24"/>
          <w:szCs w:val="24"/>
        </w:rPr>
      </w:pPr>
    </w:p>
    <w:p>
      <w:pPr>
        <w:spacing w:line="520" w:lineRule="exact"/>
        <w:ind w:firstLine="720" w:firstLineChars="3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表3.2-2                项目实际建设内容一览表</w:t>
      </w:r>
    </w:p>
    <w:tbl>
      <w:tblPr>
        <w:tblStyle w:val="42"/>
        <w:tblW w:w="4998" w:type="pct"/>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596"/>
        <w:gridCol w:w="1226"/>
        <w:gridCol w:w="2651"/>
        <w:gridCol w:w="2789"/>
        <w:gridCol w:w="1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 w:hRule="atLeast"/>
        </w:trPr>
        <w:tc>
          <w:tcPr>
            <w:tcW w:w="354" w:type="pct"/>
            <w:vAlign w:val="center"/>
          </w:tcPr>
          <w:p>
            <w:pPr>
              <w:adjustRightInd w:val="0"/>
              <w:snapToGrid w:val="0"/>
              <w:spacing w:line="400" w:lineRule="exact"/>
              <w:jc w:val="center"/>
              <w:rPr>
                <w:rFonts w:hint="default" w:ascii="Times New Roman" w:hAnsi="Times New Roman" w:cs="Times New Roman"/>
                <w:szCs w:val="21"/>
              </w:rPr>
            </w:pPr>
            <w:bookmarkStart w:id="12" w:name="_Toc505000382"/>
            <w:bookmarkStart w:id="13" w:name="_Toc22481"/>
            <w:r>
              <w:rPr>
                <w:rFonts w:hint="default" w:ascii="Times New Roman" w:hAnsi="Times New Roman" w:cs="Times New Roman"/>
                <w:szCs w:val="21"/>
              </w:rPr>
              <w:t>工程</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类别</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环评批复建设内容</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实际建设内容</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kern w:val="0"/>
                <w:szCs w:val="21"/>
                <w:lang w:eastAsia="zh-CN"/>
              </w:rPr>
              <w:t>一致性分析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主体</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7#车间</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（合成车间）</w:t>
            </w:r>
          </w:p>
        </w:tc>
        <w:tc>
          <w:tcPr>
            <w:tcW w:w="1574" w:type="pct"/>
            <w:tcBorders>
              <w:right w:val="single" w:color="auto" w:sz="4" w:space="0"/>
            </w:tcBorders>
            <w:vAlign w:val="center"/>
          </w:tcPr>
          <w:p>
            <w:pPr>
              <w:autoSpaceDE w:val="0"/>
              <w:autoSpaceDN w:val="0"/>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建筑面积3794m</w:t>
            </w:r>
            <w:r>
              <w:rPr>
                <w:rFonts w:hint="default" w:ascii="Times New Roman" w:hAnsi="Times New Roman" w:cs="Times New Roman"/>
                <w:szCs w:val="21"/>
                <w:vertAlign w:val="superscript"/>
              </w:rPr>
              <w:t>2</w:t>
            </w:r>
            <w:r>
              <w:rPr>
                <w:rFonts w:hint="default" w:ascii="Times New Roman" w:hAnsi="Times New Roman" w:cs="Times New Roman"/>
                <w:szCs w:val="21"/>
              </w:rPr>
              <w:t>，布置</w:t>
            </w:r>
            <w:r>
              <w:rPr>
                <w:rFonts w:hint="default" w:ascii="Times New Roman" w:hAnsi="Times New Roman" w:cs="Times New Roman"/>
                <w:kern w:val="0"/>
                <w:szCs w:val="21"/>
              </w:rPr>
              <w:t>φ</w:t>
            </w:r>
            <w:r>
              <w:rPr>
                <w:rFonts w:hint="default" w:ascii="Times New Roman" w:hAnsi="Times New Roman" w:cs="Times New Roman"/>
                <w:szCs w:val="21"/>
              </w:rPr>
              <w:t>750mm六面顶压机</w:t>
            </w:r>
            <w:r>
              <w:rPr>
                <w:rFonts w:hint="default" w:ascii="Times New Roman" w:hAnsi="Times New Roman" w:cs="Times New Roman"/>
                <w:szCs w:val="21"/>
                <w:lang w:val="en-US" w:eastAsia="zh-CN"/>
              </w:rPr>
              <w:t>2</w:t>
            </w:r>
            <w:r>
              <w:rPr>
                <w:rFonts w:hint="default" w:ascii="Times New Roman" w:hAnsi="Times New Roman" w:cs="Times New Roman"/>
                <w:szCs w:val="21"/>
              </w:rPr>
              <w:t>台，φ650mm六面顶压机</w:t>
            </w:r>
            <w:r>
              <w:rPr>
                <w:rFonts w:hint="default" w:ascii="Times New Roman" w:hAnsi="Times New Roman" w:cs="Times New Roman"/>
                <w:szCs w:val="21"/>
                <w:lang w:val="en-US" w:eastAsia="zh-CN"/>
              </w:rPr>
              <w:t>33</w:t>
            </w:r>
            <w:r>
              <w:rPr>
                <w:rFonts w:hint="default" w:ascii="Times New Roman" w:hAnsi="Times New Roman" w:cs="Times New Roman"/>
                <w:szCs w:val="21"/>
              </w:rPr>
              <w:t>台，</w:t>
            </w:r>
          </w:p>
          <w:p>
            <w:pPr>
              <w:autoSpaceDE w:val="0"/>
              <w:autoSpaceDN w:val="0"/>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Φ</w:t>
            </w:r>
            <w:r>
              <w:rPr>
                <w:rFonts w:hint="default" w:ascii="Times New Roman" w:hAnsi="Times New Roman" w:cs="Times New Roman"/>
                <w:szCs w:val="21"/>
                <w:lang w:val="en-US" w:eastAsia="zh-CN"/>
              </w:rPr>
              <w:t>56</w:t>
            </w:r>
            <w:r>
              <w:rPr>
                <w:rFonts w:hint="default" w:ascii="Times New Roman" w:hAnsi="Times New Roman" w:cs="Times New Roman"/>
                <w:szCs w:val="21"/>
              </w:rPr>
              <w:t>0mm六面顶压机</w:t>
            </w:r>
            <w:r>
              <w:rPr>
                <w:rFonts w:hint="default" w:ascii="Times New Roman" w:hAnsi="Times New Roman" w:cs="Times New Roman"/>
                <w:szCs w:val="21"/>
                <w:lang w:val="en-US" w:eastAsia="zh-CN"/>
              </w:rPr>
              <w:t>3</w:t>
            </w:r>
            <w:r>
              <w:rPr>
                <w:rFonts w:hint="default" w:ascii="Times New Roman" w:hAnsi="Times New Roman" w:cs="Times New Roman"/>
                <w:szCs w:val="21"/>
              </w:rPr>
              <w:t>台</w:t>
            </w:r>
            <w:r>
              <w:rPr>
                <w:rFonts w:hint="default" w:ascii="Times New Roman" w:hAnsi="Times New Roman" w:cs="Times New Roman"/>
                <w:szCs w:val="21"/>
                <w:lang w:eastAsia="zh-CN"/>
              </w:rPr>
              <w:t>。</w:t>
            </w:r>
          </w:p>
        </w:tc>
        <w:tc>
          <w:tcPr>
            <w:tcW w:w="1656" w:type="pct"/>
            <w:tcBorders>
              <w:left w:val="single" w:color="auto" w:sz="4" w:space="0"/>
            </w:tcBorders>
            <w:vAlign w:val="center"/>
          </w:tcPr>
          <w:p>
            <w:pPr>
              <w:autoSpaceDE w:val="0"/>
              <w:autoSpaceDN w:val="0"/>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建筑面积3794m</w:t>
            </w:r>
            <w:r>
              <w:rPr>
                <w:rFonts w:hint="default" w:ascii="Times New Roman" w:hAnsi="Times New Roman" w:cs="Times New Roman"/>
                <w:szCs w:val="21"/>
                <w:vertAlign w:val="superscript"/>
              </w:rPr>
              <w:t>2</w:t>
            </w:r>
            <w:r>
              <w:rPr>
                <w:rFonts w:hint="default" w:ascii="Times New Roman" w:hAnsi="Times New Roman" w:cs="Times New Roman"/>
                <w:szCs w:val="21"/>
              </w:rPr>
              <w:t>，布置φ650mm六面顶压机</w:t>
            </w:r>
            <w:r>
              <w:rPr>
                <w:rFonts w:hint="default" w:ascii="Times New Roman" w:hAnsi="Times New Roman" w:cs="Times New Roman"/>
                <w:szCs w:val="21"/>
                <w:lang w:val="en-US" w:eastAsia="zh-CN"/>
              </w:rPr>
              <w:t>28</w:t>
            </w:r>
            <w:r>
              <w:rPr>
                <w:rFonts w:hint="default" w:ascii="Times New Roman" w:hAnsi="Times New Roman" w:cs="Times New Roman"/>
                <w:szCs w:val="21"/>
              </w:rPr>
              <w:t>台</w:t>
            </w:r>
            <w:r>
              <w:rPr>
                <w:rFonts w:hint="default" w:ascii="Times New Roman" w:hAnsi="Times New Roman" w:cs="Times New Roman"/>
                <w:szCs w:val="21"/>
                <w:lang w:eastAsia="zh-CN"/>
              </w:rPr>
              <w:t>。</w:t>
            </w:r>
          </w:p>
        </w:tc>
        <w:tc>
          <w:tcPr>
            <w:tcW w:w="686" w:type="pct"/>
            <w:vAlign w:val="center"/>
          </w:tcPr>
          <w:p>
            <w:pPr>
              <w:autoSpaceDE w:val="0"/>
              <w:autoSpaceDN w:val="0"/>
              <w:adjustRightInd w:val="0"/>
              <w:snapToGrid w:val="0"/>
              <w:spacing w:line="40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不一致，顶压机台数减少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5#车间</w:t>
            </w:r>
          </w:p>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（前道及后处理车间）</w:t>
            </w:r>
          </w:p>
        </w:tc>
        <w:tc>
          <w:tcPr>
            <w:tcW w:w="1574" w:type="pct"/>
            <w:tcBorders>
              <w:right w:val="single" w:color="auto" w:sz="4" w:space="0"/>
            </w:tcBorders>
            <w:vAlign w:val="center"/>
          </w:tcPr>
          <w:p>
            <w:pPr>
              <w:autoSpaceDE w:val="0"/>
              <w:autoSpaceDN w:val="0"/>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建筑面积3794m</w:t>
            </w:r>
            <w:r>
              <w:rPr>
                <w:rFonts w:hint="default" w:ascii="Times New Roman" w:hAnsi="Times New Roman" w:cs="Times New Roman"/>
                <w:szCs w:val="21"/>
                <w:vertAlign w:val="superscript"/>
              </w:rPr>
              <w:t>2</w:t>
            </w:r>
            <w:r>
              <w:rPr>
                <w:rFonts w:hint="default" w:ascii="Times New Roman" w:hAnsi="Times New Roman" w:cs="Times New Roman"/>
                <w:szCs w:val="21"/>
              </w:rPr>
              <w:t>，</w:t>
            </w:r>
            <w:r>
              <w:rPr>
                <w:rFonts w:hint="default" w:ascii="Times New Roman" w:hAnsi="Times New Roman" w:eastAsia="宋体" w:cs="Times New Roman"/>
                <w:szCs w:val="21"/>
              </w:rPr>
              <w:t>混料、制棒、摇床、</w:t>
            </w:r>
            <w:r>
              <w:rPr>
                <w:rFonts w:hint="default" w:ascii="Times New Roman" w:hAnsi="Times New Roman" w:cs="Times New Roman"/>
                <w:szCs w:val="21"/>
                <w:lang w:eastAsia="zh-CN"/>
              </w:rPr>
              <w:t>提纯、</w:t>
            </w:r>
            <w:r>
              <w:rPr>
                <w:rFonts w:hint="default" w:ascii="Times New Roman" w:hAnsi="Times New Roman" w:eastAsia="宋体" w:cs="Times New Roman"/>
                <w:szCs w:val="21"/>
              </w:rPr>
              <w:t>球磨、筛分工序</w:t>
            </w:r>
            <w:r>
              <w:rPr>
                <w:rFonts w:hint="default" w:ascii="Times New Roman" w:hAnsi="Times New Roman" w:cs="Times New Roman"/>
                <w:szCs w:val="21"/>
                <w:lang w:eastAsia="zh-CN"/>
              </w:rPr>
              <w:t>，</w:t>
            </w:r>
          </w:p>
        </w:tc>
        <w:tc>
          <w:tcPr>
            <w:tcW w:w="1656" w:type="pct"/>
            <w:tcBorders>
              <w:left w:val="single" w:color="auto" w:sz="4" w:space="0"/>
            </w:tcBorders>
            <w:vAlign w:val="center"/>
          </w:tcPr>
          <w:p>
            <w:pPr>
              <w:autoSpaceDE w:val="0"/>
              <w:autoSpaceDN w:val="0"/>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建筑面积3794m</w:t>
            </w:r>
            <w:r>
              <w:rPr>
                <w:rFonts w:hint="default" w:ascii="Times New Roman" w:hAnsi="Times New Roman" w:cs="Times New Roman"/>
                <w:szCs w:val="21"/>
                <w:vertAlign w:val="superscript"/>
              </w:rPr>
              <w:t>2</w:t>
            </w:r>
            <w:r>
              <w:rPr>
                <w:rFonts w:hint="default" w:ascii="Times New Roman" w:hAnsi="Times New Roman" w:cs="Times New Roman"/>
                <w:szCs w:val="21"/>
              </w:rPr>
              <w:t>，布置混料、制棒、摇床、球磨、筛分工序；布置混料机、球磨机、振动粉碎机、真空包装机、真空包装机、旋振筛、选型机等</w:t>
            </w:r>
          </w:p>
        </w:tc>
        <w:tc>
          <w:tcPr>
            <w:tcW w:w="686" w:type="pct"/>
            <w:vAlign w:val="center"/>
          </w:tcPr>
          <w:p>
            <w:pPr>
              <w:autoSpaceDE w:val="0"/>
              <w:autoSpaceDN w:val="0"/>
              <w:adjustRightInd w:val="0"/>
              <w:snapToGrid w:val="0"/>
              <w:spacing w:line="40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不一致，提纯工序布置在</w:t>
            </w:r>
            <w:r>
              <w:rPr>
                <w:rFonts w:hint="default" w:ascii="Times New Roman" w:hAnsi="Times New Roman" w:cs="Times New Roman"/>
                <w:kern w:val="0"/>
                <w:szCs w:val="21"/>
                <w:lang w:val="en-US" w:eastAsia="zh-CN"/>
              </w:rPr>
              <w:t>7#车间北侧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提纯车间</w:t>
            </w:r>
          </w:p>
        </w:tc>
        <w:tc>
          <w:tcPr>
            <w:tcW w:w="1574" w:type="pct"/>
            <w:tcBorders>
              <w:right w:val="single" w:color="auto" w:sz="4" w:space="0"/>
            </w:tcBorders>
            <w:vAlign w:val="center"/>
          </w:tcPr>
          <w:p>
            <w:pPr>
              <w:autoSpaceDE w:val="0"/>
              <w:autoSpaceDN w:val="0"/>
              <w:adjustRightInd w:val="0"/>
              <w:snapToGrid w:val="0"/>
              <w:spacing w:line="40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eastAsia="zh-CN"/>
              </w:rPr>
              <w:t>位于</w:t>
            </w:r>
            <w:r>
              <w:rPr>
                <w:rFonts w:hint="default" w:ascii="Times New Roman" w:hAnsi="Times New Roman" w:cs="Times New Roman"/>
                <w:bCs/>
                <w:szCs w:val="21"/>
                <w:lang w:val="en-US" w:eastAsia="zh-CN"/>
              </w:rPr>
              <w:t>5号车间内北半侧</w:t>
            </w:r>
          </w:p>
        </w:tc>
        <w:tc>
          <w:tcPr>
            <w:tcW w:w="1656" w:type="pct"/>
            <w:tcBorders>
              <w:left w:val="single" w:color="auto" w:sz="4" w:space="0"/>
            </w:tcBorders>
            <w:vAlign w:val="center"/>
          </w:tcPr>
          <w:p>
            <w:pPr>
              <w:autoSpaceDE w:val="0"/>
              <w:autoSpaceDN w:val="0"/>
              <w:adjustRightInd w:val="0"/>
              <w:snapToGrid w:val="0"/>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位于7#车间北侧，布置浸泡、</w:t>
            </w:r>
            <w:r>
              <w:rPr>
                <w:rFonts w:hint="default" w:ascii="Times New Roman" w:hAnsi="Times New Roman" w:cs="Times New Roman"/>
                <w:bCs/>
                <w:szCs w:val="21"/>
                <w:lang w:val="en-US" w:eastAsia="zh-CN"/>
              </w:rPr>
              <w:t>破碎、</w:t>
            </w:r>
            <w:r>
              <w:rPr>
                <w:rFonts w:hint="default" w:ascii="Times New Roman" w:hAnsi="Times New Roman" w:cs="Times New Roman"/>
                <w:bCs/>
                <w:szCs w:val="21"/>
              </w:rPr>
              <w:t>煮酸、酸洗、等工序，除杂提纯。</w:t>
            </w:r>
          </w:p>
        </w:tc>
        <w:tc>
          <w:tcPr>
            <w:tcW w:w="686" w:type="pct"/>
            <w:vAlign w:val="center"/>
          </w:tcPr>
          <w:p>
            <w:pPr>
              <w:autoSpaceDE w:val="0"/>
              <w:autoSpaceDN w:val="0"/>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辅助</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snapToGrid w:val="0"/>
              <w:jc w:val="center"/>
              <w:rPr>
                <w:rFonts w:hint="default" w:ascii="Times New Roman" w:hAnsi="Times New Roman" w:cs="Times New Roman"/>
                <w:szCs w:val="20"/>
              </w:rPr>
            </w:pPr>
            <w:r>
              <w:rPr>
                <w:rFonts w:hint="default" w:ascii="Times New Roman" w:hAnsi="Times New Roman" w:cs="Times New Roman"/>
                <w:szCs w:val="20"/>
              </w:rPr>
              <w:t>原料库</w:t>
            </w:r>
          </w:p>
        </w:tc>
        <w:tc>
          <w:tcPr>
            <w:tcW w:w="1574" w:type="pct"/>
            <w:tcBorders>
              <w:right w:val="single" w:color="auto" w:sz="4" w:space="0"/>
            </w:tcBorders>
            <w:vAlign w:val="center"/>
          </w:tcPr>
          <w:p>
            <w:pPr>
              <w:snapToGrid w:val="0"/>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rPr>
              <w:t>建筑面积120m</w:t>
            </w:r>
            <w:r>
              <w:rPr>
                <w:rFonts w:hint="default" w:ascii="Times New Roman" w:hAnsi="Times New Roman" w:cs="Times New Roman"/>
                <w:szCs w:val="20"/>
                <w:vertAlign w:val="superscript"/>
              </w:rPr>
              <w:t>2</w:t>
            </w:r>
            <w:r>
              <w:rPr>
                <w:rFonts w:hint="default" w:ascii="Times New Roman" w:hAnsi="Times New Roman" w:cs="Times New Roman"/>
                <w:szCs w:val="20"/>
              </w:rPr>
              <w:t>，用于原料暂存</w:t>
            </w:r>
          </w:p>
        </w:tc>
        <w:tc>
          <w:tcPr>
            <w:tcW w:w="1656" w:type="pct"/>
            <w:tcBorders>
              <w:left w:val="single" w:color="auto" w:sz="4" w:space="0"/>
            </w:tcBorders>
            <w:vAlign w:val="center"/>
          </w:tcPr>
          <w:p>
            <w:pPr>
              <w:snapToGrid w:val="0"/>
              <w:jc w:val="center"/>
              <w:rPr>
                <w:rFonts w:hint="default" w:ascii="Times New Roman" w:hAnsi="Times New Roman" w:cs="Times New Roman"/>
                <w:szCs w:val="20"/>
              </w:rPr>
            </w:pPr>
            <w:r>
              <w:rPr>
                <w:rFonts w:hint="default" w:ascii="Times New Roman" w:hAnsi="Times New Roman" w:cs="Times New Roman"/>
                <w:szCs w:val="20"/>
              </w:rPr>
              <w:t>建筑面积120m</w:t>
            </w:r>
            <w:r>
              <w:rPr>
                <w:rFonts w:hint="default" w:ascii="Times New Roman" w:hAnsi="Times New Roman" w:cs="Times New Roman"/>
                <w:szCs w:val="20"/>
                <w:vertAlign w:val="superscript"/>
              </w:rPr>
              <w:t>2</w:t>
            </w:r>
            <w:r>
              <w:rPr>
                <w:rFonts w:hint="default" w:ascii="Times New Roman" w:hAnsi="Times New Roman" w:cs="Times New Roman"/>
                <w:szCs w:val="20"/>
              </w:rPr>
              <w:t>，用于原料暂存</w:t>
            </w:r>
          </w:p>
        </w:tc>
        <w:tc>
          <w:tcPr>
            <w:tcW w:w="686" w:type="pct"/>
            <w:vAlign w:val="center"/>
          </w:tcPr>
          <w:p>
            <w:pPr>
              <w:autoSpaceDE w:val="0"/>
              <w:autoSpaceDN w:val="0"/>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snapToGrid w:val="0"/>
              <w:jc w:val="center"/>
              <w:rPr>
                <w:rFonts w:hint="default" w:ascii="Times New Roman" w:hAnsi="Times New Roman" w:cs="Times New Roman"/>
                <w:szCs w:val="20"/>
              </w:rPr>
            </w:pPr>
            <w:r>
              <w:rPr>
                <w:rFonts w:hint="default" w:ascii="Times New Roman" w:hAnsi="Times New Roman" w:cs="Times New Roman"/>
                <w:szCs w:val="20"/>
              </w:rPr>
              <w:t>成品库</w:t>
            </w:r>
          </w:p>
        </w:tc>
        <w:tc>
          <w:tcPr>
            <w:tcW w:w="1574" w:type="pct"/>
            <w:tcBorders>
              <w:right w:val="single" w:color="auto" w:sz="4" w:space="0"/>
            </w:tcBorders>
            <w:vAlign w:val="center"/>
          </w:tcPr>
          <w:p>
            <w:pPr>
              <w:snapToGrid w:val="0"/>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rPr>
              <w:t>建筑面积80m</w:t>
            </w:r>
            <w:r>
              <w:rPr>
                <w:rFonts w:hint="default" w:ascii="Times New Roman" w:hAnsi="Times New Roman" w:cs="Times New Roman"/>
                <w:szCs w:val="20"/>
                <w:vertAlign w:val="superscript"/>
              </w:rPr>
              <w:t>2</w:t>
            </w:r>
            <w:r>
              <w:rPr>
                <w:rFonts w:hint="default" w:ascii="Times New Roman" w:hAnsi="Times New Roman" w:cs="Times New Roman"/>
                <w:szCs w:val="20"/>
              </w:rPr>
              <w:t>，用于成品暂存</w:t>
            </w:r>
          </w:p>
        </w:tc>
        <w:tc>
          <w:tcPr>
            <w:tcW w:w="1656" w:type="pct"/>
            <w:tcBorders>
              <w:left w:val="single" w:color="auto" w:sz="4" w:space="0"/>
            </w:tcBorders>
            <w:vAlign w:val="center"/>
          </w:tcPr>
          <w:p>
            <w:pPr>
              <w:snapToGrid w:val="0"/>
              <w:jc w:val="center"/>
              <w:rPr>
                <w:rFonts w:hint="default" w:ascii="Times New Roman" w:hAnsi="Times New Roman" w:cs="Times New Roman"/>
                <w:szCs w:val="20"/>
              </w:rPr>
            </w:pPr>
            <w:r>
              <w:rPr>
                <w:rFonts w:hint="default" w:ascii="Times New Roman" w:hAnsi="Times New Roman" w:cs="Times New Roman"/>
                <w:szCs w:val="20"/>
              </w:rPr>
              <w:t>建筑面积80m</w:t>
            </w:r>
            <w:r>
              <w:rPr>
                <w:rFonts w:hint="default" w:ascii="Times New Roman" w:hAnsi="Times New Roman" w:cs="Times New Roman"/>
                <w:szCs w:val="20"/>
                <w:vertAlign w:val="superscript"/>
              </w:rPr>
              <w:t>2</w:t>
            </w:r>
            <w:r>
              <w:rPr>
                <w:rFonts w:hint="default" w:ascii="Times New Roman" w:hAnsi="Times New Roman" w:cs="Times New Roman"/>
                <w:szCs w:val="20"/>
              </w:rPr>
              <w:t>，用于成品暂存</w:t>
            </w:r>
          </w:p>
        </w:tc>
        <w:tc>
          <w:tcPr>
            <w:tcW w:w="686" w:type="pct"/>
            <w:vAlign w:val="center"/>
          </w:tcPr>
          <w:p>
            <w:pPr>
              <w:autoSpaceDE w:val="0"/>
              <w:autoSpaceDN w:val="0"/>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公用</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供水工程</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市政供水，年用水量</w:t>
            </w:r>
            <w:r>
              <w:rPr>
                <w:rFonts w:hint="default" w:ascii="Times New Roman" w:hAnsi="Times New Roman" w:cs="Times New Roman"/>
                <w:szCs w:val="21"/>
                <w:highlight w:val="none"/>
                <w:lang w:val="en-US" w:eastAsia="zh-CN"/>
              </w:rPr>
              <w:t>2910</w:t>
            </w: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市政供水，年用水量</w:t>
            </w:r>
            <w:r>
              <w:rPr>
                <w:rFonts w:hint="default" w:ascii="Times New Roman" w:hAnsi="Times New Roman" w:cs="Times New Roman"/>
                <w:szCs w:val="21"/>
                <w:highlight w:val="none"/>
                <w:lang w:val="en-US" w:eastAsia="zh-CN"/>
              </w:rPr>
              <w:t>2910</w:t>
            </w: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供电工程</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bCs/>
                <w:szCs w:val="21"/>
              </w:rPr>
            </w:pPr>
            <w:r>
              <w:rPr>
                <w:rStyle w:val="77"/>
                <w:rFonts w:hint="default" w:ascii="Times New Roman" w:hAnsi="Times New Roman" w:cs="Times New Roman"/>
                <w:sz w:val="21"/>
              </w:rPr>
              <w:t>市政供电，年用电量</w:t>
            </w:r>
            <w:r>
              <w:rPr>
                <w:rStyle w:val="77"/>
                <w:rFonts w:hint="default" w:ascii="Times New Roman" w:hAnsi="Times New Roman" w:cs="Times New Roman"/>
                <w:sz w:val="21"/>
                <w:highlight w:val="none"/>
                <w:lang w:val="en-US" w:eastAsia="zh-CN"/>
              </w:rPr>
              <w:t>130</w:t>
            </w:r>
            <w:r>
              <w:rPr>
                <w:rStyle w:val="77"/>
                <w:rFonts w:hint="default" w:ascii="Times New Roman" w:hAnsi="Times New Roman" w:cs="Times New Roman"/>
                <w:sz w:val="21"/>
                <w:highlight w:val="none"/>
              </w:rPr>
              <w:t>万kW·h</w:t>
            </w:r>
          </w:p>
        </w:tc>
        <w:tc>
          <w:tcPr>
            <w:tcW w:w="1656" w:type="pct"/>
            <w:tcBorders>
              <w:left w:val="single" w:color="auto" w:sz="4" w:space="0"/>
            </w:tcBorders>
            <w:vAlign w:val="center"/>
          </w:tcPr>
          <w:p>
            <w:pPr>
              <w:adjustRightInd w:val="0"/>
              <w:snapToGrid w:val="0"/>
              <w:spacing w:line="400" w:lineRule="exact"/>
              <w:jc w:val="center"/>
              <w:rPr>
                <w:rStyle w:val="77"/>
                <w:rFonts w:hint="default" w:ascii="Times New Roman" w:hAnsi="Times New Roman" w:cs="Times New Roman"/>
                <w:sz w:val="21"/>
              </w:rPr>
            </w:pPr>
            <w:r>
              <w:rPr>
                <w:rStyle w:val="77"/>
                <w:rFonts w:hint="default" w:ascii="Times New Roman" w:hAnsi="Times New Roman" w:cs="Times New Roman"/>
                <w:sz w:val="21"/>
              </w:rPr>
              <w:t>市政供电，年用电量</w:t>
            </w:r>
            <w:r>
              <w:rPr>
                <w:rStyle w:val="77"/>
                <w:rFonts w:hint="default" w:ascii="Times New Roman" w:hAnsi="Times New Roman" w:cs="Times New Roman"/>
                <w:sz w:val="21"/>
                <w:highlight w:val="none"/>
                <w:lang w:val="en-US" w:eastAsia="zh-CN"/>
              </w:rPr>
              <w:t>120</w:t>
            </w:r>
            <w:r>
              <w:rPr>
                <w:rStyle w:val="77"/>
                <w:rFonts w:hint="default" w:ascii="Times New Roman" w:hAnsi="Times New Roman" w:cs="Times New Roman"/>
                <w:sz w:val="21"/>
                <w:highlight w:val="none"/>
              </w:rPr>
              <w:t>万kW·h</w:t>
            </w:r>
          </w:p>
        </w:tc>
        <w:tc>
          <w:tcPr>
            <w:tcW w:w="686" w:type="pct"/>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kern w:val="0"/>
                <w:szCs w:val="21"/>
                <w:lang w:eastAsia="zh-CN"/>
              </w:rPr>
              <w:t>煮碱工序取消用电量减少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排水工程</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酸性废水及摇床冲洗产生的废水经中和后回用于摇床分离工艺，不外排，生活污水经化粪池处理后排入市政管网，最终排入信阳市第一污水处理厂</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酸性废水及摇床冲洗产生的废水经中和后回用于摇床分离工艺，不外排，生活污水经化粪池处理后排入市政管网，最终排入信阳市第一污水处理厂</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环保</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rPr>
            </w:pPr>
            <w:r>
              <w:rPr>
                <w:rFonts w:hint="default" w:ascii="Times New Roman" w:hAnsi="Times New Roman" w:cs="Times New Roman"/>
                <w:szCs w:val="21"/>
              </w:rPr>
              <w:t>含酸废气经酸雾净化塔处理后由15m高排气筒排放</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压棒工序操作平台四周少量起尘，起尘量较小，每台压机配套水吸收设施处理</w:t>
            </w:r>
            <w:r>
              <w:rPr>
                <w:rFonts w:hint="default" w:ascii="Times New Roman" w:hAnsi="Times New Roman" w:cs="Times New Roman"/>
                <w:color w:val="000000"/>
                <w:kern w:val="0"/>
                <w:szCs w:val="21"/>
              </w:rPr>
              <w:t>；</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b w:val="0"/>
                <w:bCs/>
                <w:color w:val="000000"/>
                <w:kern w:val="0"/>
                <w:szCs w:val="21"/>
                <w:lang w:eastAsia="zh-CN"/>
              </w:rPr>
              <w:t>浸泡</w:t>
            </w:r>
            <w:r>
              <w:rPr>
                <w:rFonts w:hint="default" w:ascii="Times New Roman" w:hAnsi="Times New Roman" w:cs="Times New Roman"/>
                <w:b w:val="0"/>
                <w:bCs/>
                <w:color w:val="000000"/>
                <w:kern w:val="0"/>
                <w:szCs w:val="21"/>
              </w:rPr>
              <w:t>工序</w:t>
            </w:r>
            <w:r>
              <w:rPr>
                <w:rFonts w:hint="default" w:ascii="Times New Roman" w:hAnsi="Times New Roman" w:cs="Times New Roman"/>
                <w:b w:val="0"/>
                <w:bCs/>
                <w:color w:val="000000"/>
                <w:kern w:val="0"/>
                <w:szCs w:val="21"/>
                <w:lang w:eastAsia="zh-CN"/>
              </w:rPr>
              <w:t>产生氨气及泡酸、煮酸工序挥发的含酸废气经管道吸收后引至酸雾喷淋塔处理后经</w:t>
            </w:r>
            <w:r>
              <w:rPr>
                <w:rFonts w:hint="default" w:ascii="Times New Roman" w:hAnsi="Times New Roman" w:cs="Times New Roman"/>
                <w:b w:val="0"/>
                <w:bCs/>
                <w:color w:val="000000"/>
                <w:kern w:val="0"/>
                <w:szCs w:val="21"/>
                <w:lang w:val="en-US" w:eastAsia="zh-CN"/>
              </w:rPr>
              <w:t>15m高排气筒排放。</w:t>
            </w:r>
          </w:p>
        </w:tc>
        <w:tc>
          <w:tcPr>
            <w:tcW w:w="686" w:type="pct"/>
            <w:vAlign w:val="center"/>
          </w:tcPr>
          <w:p>
            <w:pPr>
              <w:adjustRightInd w:val="0"/>
              <w:snapToGrid w:val="0"/>
              <w:spacing w:line="40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与环评不一致</w:t>
            </w:r>
            <w:r>
              <w:rPr>
                <w:rFonts w:hint="default" w:ascii="Times New Roman" w:hAnsi="Times New Roman" w:cs="Times New Roman"/>
                <w:kern w:val="0"/>
                <w:szCs w:val="21"/>
                <w:lang w:eastAsia="zh-CN"/>
              </w:rPr>
              <w:t>，增加粉尘处理措施及氨废气处理措施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废水</w:t>
            </w:r>
          </w:p>
        </w:tc>
        <w:tc>
          <w:tcPr>
            <w:tcW w:w="1574" w:type="pct"/>
            <w:tcBorders>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生活废水：</w:t>
            </w:r>
            <w:r>
              <w:rPr>
                <w:rFonts w:hint="default" w:ascii="Times New Roman" w:hAnsi="Times New Roman" w:cs="Times New Roman"/>
                <w:szCs w:val="21"/>
              </w:rPr>
              <w:t>生活污水经化粪池处理后排入市政管网，最终排入信阳市第一污水处理厂</w:t>
            </w:r>
            <w:r>
              <w:rPr>
                <w:rFonts w:hint="default" w:ascii="Times New Roman" w:hAnsi="Times New Roman" w:cs="Times New Roman"/>
                <w:kern w:val="0"/>
                <w:szCs w:val="21"/>
              </w:rPr>
              <w:t>。</w:t>
            </w:r>
          </w:p>
        </w:tc>
        <w:tc>
          <w:tcPr>
            <w:tcW w:w="1656" w:type="pct"/>
            <w:tcBorders>
              <w:left w:val="single" w:color="auto" w:sz="4" w:space="0"/>
              <w:bottom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生活废水：</w:t>
            </w:r>
            <w:r>
              <w:rPr>
                <w:rFonts w:hint="default" w:ascii="Times New Roman" w:hAnsi="Times New Roman" w:cs="Times New Roman"/>
                <w:szCs w:val="21"/>
              </w:rPr>
              <w:t>生活污水经化粪池处理后排入市政管网，最终排入信阳市第一污水处理厂</w:t>
            </w:r>
            <w:r>
              <w:rPr>
                <w:rFonts w:hint="default" w:ascii="Times New Roman" w:hAnsi="Times New Roman" w:cs="Times New Roman"/>
                <w:kern w:val="0"/>
                <w:szCs w:val="21"/>
              </w:rPr>
              <w:t>。</w:t>
            </w:r>
          </w:p>
        </w:tc>
        <w:tc>
          <w:tcPr>
            <w:tcW w:w="686" w:type="pct"/>
            <w:tcBorders>
              <w:bottom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5"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top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生产废水：</w:t>
            </w:r>
            <w:r>
              <w:rPr>
                <w:rFonts w:hint="default" w:ascii="Times New Roman" w:hAnsi="Times New Roman" w:cs="Times New Roman"/>
                <w:szCs w:val="21"/>
              </w:rPr>
              <w:t>酸性废水及摇床冲洗产生的废水经中和后回用于摇床分离工艺</w:t>
            </w:r>
            <w:r>
              <w:rPr>
                <w:rFonts w:hint="default" w:ascii="Times New Roman" w:hAnsi="Times New Roman" w:cs="Times New Roman"/>
                <w:kern w:val="0"/>
                <w:szCs w:val="21"/>
              </w:rPr>
              <w:t>。</w:t>
            </w:r>
          </w:p>
        </w:tc>
        <w:tc>
          <w:tcPr>
            <w:tcW w:w="1656" w:type="pct"/>
            <w:tcBorders>
              <w:top w:val="single" w:color="auto" w:sz="4" w:space="0"/>
              <w:left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生产废水：</w:t>
            </w:r>
            <w:r>
              <w:rPr>
                <w:rFonts w:hint="default" w:ascii="Times New Roman" w:hAnsi="Times New Roman" w:cs="Times New Roman"/>
                <w:szCs w:val="21"/>
              </w:rPr>
              <w:t>酸性废水及摇床冲洗产生的废水经中和后回用于摇床分离工艺</w:t>
            </w:r>
            <w:r>
              <w:rPr>
                <w:rFonts w:hint="default" w:ascii="Times New Roman" w:hAnsi="Times New Roman" w:cs="Times New Roman"/>
                <w:kern w:val="0"/>
                <w:szCs w:val="21"/>
              </w:rPr>
              <w:t>。</w:t>
            </w:r>
          </w:p>
        </w:tc>
        <w:tc>
          <w:tcPr>
            <w:tcW w:w="686" w:type="pct"/>
            <w:tcBorders>
              <w:top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5"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1574" w:type="pct"/>
            <w:tcBorders>
              <w:bottom w:val="single" w:color="auto" w:sz="4" w:space="0"/>
              <w:right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一般工业固废：</w:t>
            </w:r>
            <w:r>
              <w:rPr>
                <w:rFonts w:hint="default" w:ascii="Times New Roman" w:hAnsi="Times New Roman" w:eastAsia="宋体" w:cs="Times New Roman"/>
                <w:sz w:val="21"/>
                <w:szCs w:val="21"/>
              </w:rPr>
              <w:t>车间划分固废暂存区，面积20m</w:t>
            </w:r>
            <w:r>
              <w:rPr>
                <w:rFonts w:hint="default" w:ascii="Times New Roman" w:hAnsi="Times New Roman" w:eastAsia="宋体" w:cs="Times New Roman"/>
                <w:sz w:val="21"/>
                <w:szCs w:val="21"/>
                <w:vertAlign w:val="superscript"/>
              </w:rPr>
              <w:t>2</w:t>
            </w:r>
          </w:p>
        </w:tc>
        <w:tc>
          <w:tcPr>
            <w:tcW w:w="1656" w:type="pct"/>
            <w:tcBorders>
              <w:left w:val="single" w:color="auto" w:sz="4" w:space="0"/>
              <w:bottom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default" w:ascii="Times New Roman" w:hAnsi="Times New Roman" w:eastAsia="宋体" w:cs="Times New Roman"/>
                <w:kern w:val="0"/>
                <w:szCs w:val="21"/>
              </w:rPr>
              <w:t>5#车间北侧建设固废暂存区1处，面积180平方米</w:t>
            </w:r>
          </w:p>
        </w:tc>
        <w:tc>
          <w:tcPr>
            <w:tcW w:w="686" w:type="pct"/>
            <w:tcBorders>
              <w:bottom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不一致，固废暂存间单独建设，面积增大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top w:val="single" w:color="auto" w:sz="4" w:space="0"/>
              <w:right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szCs w:val="21"/>
              </w:rPr>
              <w:t>危险废物：暂存危废暂存间</w:t>
            </w:r>
            <w:r>
              <w:rPr>
                <w:rFonts w:hint="default" w:ascii="Times New Roman" w:hAnsi="Times New Roman" w:cs="Times New Roman"/>
                <w:szCs w:val="21"/>
                <w:highlight w:val="none"/>
              </w:rPr>
              <w:t>240m</w:t>
            </w:r>
            <w:r>
              <w:rPr>
                <w:rFonts w:hint="default" w:ascii="Times New Roman" w:hAnsi="Times New Roman" w:cs="Times New Roman"/>
                <w:szCs w:val="21"/>
                <w:highlight w:val="none"/>
                <w:vertAlign w:val="superscript"/>
              </w:rPr>
              <w:t>2</w:t>
            </w:r>
          </w:p>
        </w:tc>
        <w:tc>
          <w:tcPr>
            <w:tcW w:w="1656" w:type="pct"/>
            <w:tcBorders>
              <w:top w:val="single" w:color="auto" w:sz="4" w:space="0"/>
              <w:left w:val="single" w:color="auto" w:sz="4" w:space="0"/>
            </w:tcBorders>
            <w:vAlign w:val="center"/>
          </w:tcPr>
          <w:p>
            <w:pPr>
              <w:spacing w:line="360" w:lineRule="exact"/>
              <w:ind w:firstLine="420" w:firstLineChars="200"/>
              <w:rPr>
                <w:rFonts w:hint="default" w:ascii="Times New Roman" w:hAnsi="Times New Roman" w:cs="Times New Roman"/>
                <w:szCs w:val="21"/>
              </w:rPr>
            </w:pPr>
            <w:r>
              <w:rPr>
                <w:rFonts w:hint="default" w:ascii="Times New Roman" w:hAnsi="Times New Roman" w:eastAsia="宋体" w:cs="Times New Roman"/>
                <w:szCs w:val="21"/>
              </w:rPr>
              <w:t>危废暂存间60</w:t>
            </w: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2</w:t>
            </w:r>
          </w:p>
        </w:tc>
        <w:tc>
          <w:tcPr>
            <w:tcW w:w="686" w:type="pct"/>
            <w:tcBorders>
              <w:top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不一致，危废暂存间位置减少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本项目选用低噪声设备，采取减振、隔声等措施</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本项目选用低噪声设备，采取减振、隔声等措施</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restart"/>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风险防范</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土壤</w:t>
            </w:r>
            <w:r>
              <w:rPr>
                <w:rFonts w:hint="default" w:ascii="Times New Roman" w:hAnsi="Times New Roman" w:cs="Times New Roman"/>
                <w:szCs w:val="21"/>
                <w:lang w:eastAsia="zh-CN"/>
              </w:rPr>
              <w:t>、</w:t>
            </w:r>
            <w:r>
              <w:rPr>
                <w:rFonts w:hint="default" w:ascii="Times New Roman" w:hAnsi="Times New Roman" w:cs="Times New Roman"/>
                <w:szCs w:val="21"/>
              </w:rPr>
              <w:t>地下水</w:t>
            </w:r>
            <w:r>
              <w:rPr>
                <w:rFonts w:hint="default" w:ascii="Times New Roman" w:hAnsi="Times New Roman" w:cs="Times New Roman"/>
                <w:szCs w:val="21"/>
                <w:lang w:eastAsia="zh-CN"/>
              </w:rPr>
              <w:t>：生产车间采取中重点防渗措施，采用环氧树脂进行表面防渗</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生产车间采用环氧树脂进行防渗</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事故池：在5#车间北侧外建设50m</w:t>
            </w:r>
            <w:r>
              <w:rPr>
                <w:rFonts w:hint="default" w:ascii="Times New Roman" w:hAnsi="Times New Roman" w:cs="Times New Roman"/>
                <w:szCs w:val="21"/>
                <w:vertAlign w:val="superscript"/>
                <w:lang w:eastAsia="zh-CN"/>
              </w:rPr>
              <w:t>3</w:t>
            </w:r>
            <w:r>
              <w:rPr>
                <w:rFonts w:hint="default" w:ascii="Times New Roman" w:hAnsi="Times New Roman" w:cs="Times New Roman"/>
                <w:szCs w:val="21"/>
                <w:lang w:eastAsia="zh-CN"/>
              </w:rPr>
              <w:t>事故池</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szCs w:val="21"/>
              </w:rPr>
              <w:t>事故池在5#车间东侧，最南边的水池。</w:t>
            </w:r>
          </w:p>
        </w:tc>
        <w:tc>
          <w:tcPr>
            <w:tcW w:w="686" w:type="pct"/>
            <w:vAlign w:val="center"/>
          </w:tcPr>
          <w:p>
            <w:pPr>
              <w:adjustRightInd w:val="0"/>
              <w:snapToGrid w:val="0"/>
              <w:spacing w:line="4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事故池位置变动</w:t>
            </w:r>
          </w:p>
        </w:tc>
      </w:tr>
    </w:tbl>
    <w:p>
      <w:pPr>
        <w:adjustRightInd w:val="0"/>
        <w:snapToGrid w:val="0"/>
        <w:spacing w:line="520" w:lineRule="exact"/>
        <w:outlineLvl w:val="2"/>
        <w:rPr>
          <w:rFonts w:hint="default" w:ascii="Times New Roman" w:hAnsi="Times New Roman" w:eastAsia="楷体" w:cs="Times New Roman"/>
          <w:color w:val="000000"/>
          <w:sz w:val="24"/>
          <w:szCs w:val="24"/>
          <w:lang w:eastAsia="zh-CN"/>
        </w:rPr>
      </w:pPr>
      <w:r>
        <w:rPr>
          <w:rFonts w:hint="default" w:ascii="Times New Roman" w:hAnsi="Times New Roman" w:eastAsia="楷体" w:cs="Times New Roman"/>
          <w:color w:val="000000"/>
          <w:sz w:val="24"/>
          <w:szCs w:val="24"/>
        </w:rPr>
        <w:t>3.2.</w:t>
      </w:r>
      <w:r>
        <w:rPr>
          <w:rFonts w:hint="default" w:ascii="Times New Roman" w:hAnsi="Times New Roman" w:eastAsia="楷体" w:cs="Times New Roman"/>
          <w:color w:val="000000"/>
          <w:sz w:val="24"/>
          <w:szCs w:val="24"/>
          <w:lang w:val="en-US" w:eastAsia="zh-CN"/>
        </w:rPr>
        <w:t>3</w:t>
      </w:r>
      <w:r>
        <w:rPr>
          <w:rFonts w:hint="default" w:ascii="Times New Roman" w:hAnsi="Times New Roman" w:eastAsia="楷体" w:cs="Times New Roman"/>
          <w:color w:val="000000"/>
          <w:sz w:val="24"/>
          <w:szCs w:val="24"/>
        </w:rPr>
        <w:t>项目</w:t>
      </w:r>
      <w:r>
        <w:rPr>
          <w:rFonts w:hint="default" w:ascii="Times New Roman" w:hAnsi="Times New Roman" w:eastAsia="楷体" w:cs="Times New Roman"/>
          <w:color w:val="000000"/>
          <w:sz w:val="24"/>
          <w:szCs w:val="24"/>
          <w:lang w:eastAsia="zh-CN"/>
        </w:rPr>
        <w:t>原辅材料</w:t>
      </w:r>
    </w:p>
    <w:p>
      <w:pPr>
        <w:spacing w:line="52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项目原辅材料使用量见表3.3-1。</w:t>
      </w:r>
    </w:p>
    <w:p>
      <w:pPr>
        <w:pStyle w:val="2"/>
        <w:rPr>
          <w:rFonts w:hint="default" w:ascii="Times New Roman" w:hAnsi="Times New Roman" w:cs="Times New Roman"/>
          <w:sz w:val="24"/>
          <w:szCs w:val="24"/>
        </w:rPr>
      </w:pPr>
    </w:p>
    <w:p>
      <w:pPr>
        <w:pStyle w:val="4"/>
        <w:rPr>
          <w:rFonts w:hint="default" w:ascii="Times New Roman" w:hAnsi="Times New Roman" w:cs="Times New Roman"/>
        </w:rPr>
      </w:pPr>
    </w:p>
    <w:p>
      <w:pPr>
        <w:spacing w:line="520" w:lineRule="exact"/>
        <w:ind w:firstLine="360" w:firstLineChars="15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表3.3-1     工程主要原辅材料、能源消耗用量一览表</w:t>
      </w:r>
    </w:p>
    <w:tbl>
      <w:tblPr>
        <w:tblStyle w:val="42"/>
        <w:tblW w:w="4954" w:type="pct"/>
        <w:tblInd w:w="1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1667"/>
        <w:gridCol w:w="1272"/>
        <w:gridCol w:w="1559"/>
        <w:gridCol w:w="1554"/>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序号</w:t>
            </w:r>
          </w:p>
        </w:tc>
        <w:tc>
          <w:tcPr>
            <w:tcW w:w="987"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名称</w:t>
            </w:r>
          </w:p>
        </w:tc>
        <w:tc>
          <w:tcPr>
            <w:tcW w:w="753" w:type="pct"/>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规格</w:t>
            </w:r>
          </w:p>
        </w:tc>
        <w:tc>
          <w:tcPr>
            <w:tcW w:w="923"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环评用量</w:t>
            </w:r>
          </w:p>
        </w:tc>
        <w:tc>
          <w:tcPr>
            <w:tcW w:w="920"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实际用量</w:t>
            </w:r>
          </w:p>
        </w:tc>
        <w:tc>
          <w:tcPr>
            <w:tcW w:w="99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00" w:type="pct"/>
            <w:gridSpan w:val="6"/>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原辅料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1</w:t>
            </w:r>
          </w:p>
        </w:tc>
        <w:tc>
          <w:tcPr>
            <w:tcW w:w="987" w:type="pct"/>
            <w:vAlign w:val="center"/>
          </w:tcPr>
          <w:p>
            <w:pPr>
              <w:tabs>
                <w:tab w:val="left" w:pos="3430"/>
              </w:tabs>
              <w:adjustRightInd w:val="0"/>
              <w:snapToGrid w:val="0"/>
              <w:spacing w:line="360" w:lineRule="exact"/>
              <w:jc w:val="center"/>
              <w:rPr>
                <w:rFonts w:hint="default" w:ascii="Times New Roman" w:hAnsi="Times New Roman" w:cs="Times New Roman"/>
                <w:spacing w:val="8"/>
                <w:szCs w:val="21"/>
              </w:rPr>
            </w:pPr>
            <w:r>
              <w:rPr>
                <w:rFonts w:hint="default" w:ascii="Times New Roman" w:hAnsi="Times New Roman" w:eastAsia="宋体" w:cs="Times New Roman"/>
                <w:bCs/>
                <w:sz w:val="21"/>
                <w:szCs w:val="21"/>
              </w:rPr>
              <w:t>六方氮化硼HBN</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19.2</w:t>
            </w:r>
            <w:r>
              <w:rPr>
                <w:rFonts w:hint="default" w:ascii="Times New Roman" w:hAnsi="Times New Roman" w:cs="Times New Roman"/>
                <w:szCs w:val="21"/>
              </w:rPr>
              <w:t>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13.44</w:t>
            </w:r>
            <w:r>
              <w:rPr>
                <w:rFonts w:hint="default" w:ascii="Times New Roman" w:hAnsi="Times New Roman" w:cs="Times New Roman"/>
                <w:szCs w:val="21"/>
              </w:rPr>
              <w:t>t/a</w:t>
            </w:r>
          </w:p>
        </w:tc>
        <w:tc>
          <w:tcPr>
            <w:tcW w:w="991" w:type="pct"/>
            <w:vMerge w:val="restart"/>
            <w:vAlign w:val="center"/>
          </w:tcPr>
          <w:p>
            <w:pPr>
              <w:spacing w:line="36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lang w:val="en-US" w:eastAsia="zh-CN"/>
              </w:rPr>
              <w:t>不一致，产能减少，原辅料用量减少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2</w:t>
            </w:r>
          </w:p>
        </w:tc>
        <w:tc>
          <w:tcPr>
            <w:tcW w:w="987" w:type="pct"/>
            <w:vAlign w:val="center"/>
          </w:tcPr>
          <w:p>
            <w:pPr>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bCs/>
                <w:sz w:val="21"/>
                <w:szCs w:val="21"/>
              </w:rPr>
              <w:t>触媒</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4.2</w:t>
            </w:r>
            <w:r>
              <w:rPr>
                <w:rFonts w:hint="default" w:ascii="Times New Roman" w:hAnsi="Times New Roman" w:cs="Times New Roman"/>
                <w:szCs w:val="21"/>
              </w:rPr>
              <w:t>t/a</w:t>
            </w:r>
          </w:p>
        </w:tc>
        <w:tc>
          <w:tcPr>
            <w:tcW w:w="991"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3</w:t>
            </w:r>
          </w:p>
        </w:tc>
        <w:tc>
          <w:tcPr>
            <w:tcW w:w="987" w:type="pct"/>
            <w:vAlign w:val="center"/>
          </w:tcPr>
          <w:p>
            <w:pPr>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叶蜡石块</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eastAsia="宋体" w:cs="Times New Roman"/>
                <w:sz w:val="21"/>
                <w:szCs w:val="21"/>
              </w:rPr>
              <w:t>90万块/a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63</w:t>
            </w:r>
            <w:r>
              <w:rPr>
                <w:rFonts w:hint="default" w:ascii="Times New Roman" w:hAnsi="Times New Roman" w:eastAsia="宋体" w:cs="Times New Roman"/>
                <w:sz w:val="21"/>
                <w:szCs w:val="21"/>
              </w:rPr>
              <w:t>万块/a</w:t>
            </w:r>
          </w:p>
        </w:tc>
        <w:tc>
          <w:tcPr>
            <w:tcW w:w="991" w:type="pct"/>
            <w:vMerge w:val="continue"/>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4</w:t>
            </w:r>
          </w:p>
        </w:tc>
        <w:tc>
          <w:tcPr>
            <w:tcW w:w="987" w:type="pct"/>
            <w:vAlign w:val="center"/>
          </w:tcPr>
          <w:p>
            <w:pPr>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钢圈</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2.1</w:t>
            </w:r>
            <w:r>
              <w:rPr>
                <w:rFonts w:hint="default" w:ascii="Times New Roman" w:hAnsi="Times New Roman" w:cs="Times New Roman"/>
                <w:szCs w:val="21"/>
              </w:rPr>
              <w:t>t/a</w:t>
            </w:r>
          </w:p>
        </w:tc>
        <w:tc>
          <w:tcPr>
            <w:tcW w:w="991" w:type="pct"/>
            <w:vMerge w:val="continue"/>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5</w:t>
            </w:r>
          </w:p>
        </w:tc>
        <w:tc>
          <w:tcPr>
            <w:tcW w:w="987" w:type="pct"/>
            <w:vAlign w:val="center"/>
          </w:tcPr>
          <w:p>
            <w:pPr>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碳管</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17t/a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11.9</w:t>
            </w:r>
            <w:r>
              <w:rPr>
                <w:rFonts w:hint="default" w:ascii="Times New Roman" w:hAnsi="Times New Roman" w:cs="Times New Roman"/>
                <w:szCs w:val="21"/>
              </w:rPr>
              <w:t>t/a</w:t>
            </w:r>
          </w:p>
        </w:tc>
        <w:tc>
          <w:tcPr>
            <w:tcW w:w="991"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6</w:t>
            </w:r>
          </w:p>
        </w:tc>
        <w:tc>
          <w:tcPr>
            <w:tcW w:w="987"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bCs/>
                <w:sz w:val="21"/>
                <w:szCs w:val="21"/>
              </w:rPr>
              <w:t>白云石</w:t>
            </w:r>
          </w:p>
        </w:tc>
        <w:tc>
          <w:tcPr>
            <w:tcW w:w="75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10t/a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7</w:t>
            </w:r>
            <w:r>
              <w:rPr>
                <w:rFonts w:hint="default" w:ascii="Times New Roman" w:hAnsi="Times New Roman" w:cs="Times New Roman"/>
                <w:szCs w:val="21"/>
              </w:rPr>
              <w:t>t/a</w:t>
            </w:r>
          </w:p>
        </w:tc>
        <w:tc>
          <w:tcPr>
            <w:tcW w:w="991"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exact"/>
        </w:trPr>
        <w:tc>
          <w:tcPr>
            <w:tcW w:w="425" w:type="pct"/>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7</w:t>
            </w:r>
          </w:p>
        </w:tc>
        <w:tc>
          <w:tcPr>
            <w:tcW w:w="987" w:type="pct"/>
            <w:vAlign w:val="center"/>
          </w:tcPr>
          <w:p>
            <w:pPr>
              <w:widowControl/>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浓硫酸</w:t>
            </w:r>
          </w:p>
        </w:tc>
        <w:tc>
          <w:tcPr>
            <w:tcW w:w="753" w:type="pct"/>
            <w:vAlign w:val="center"/>
          </w:tcPr>
          <w:p>
            <w:pPr>
              <w:adjustRightInd w:val="0"/>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浓度98%</w:t>
            </w:r>
          </w:p>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eastAsia="宋体" w:cs="Times New Roman"/>
                <w:bCs/>
                <w:sz w:val="21"/>
                <w:szCs w:val="21"/>
              </w:rPr>
              <w:t>2.5L/瓶</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eastAsia="宋体" w:cs="Times New Roman"/>
                <w:sz w:val="21"/>
                <w:szCs w:val="21"/>
              </w:rPr>
              <w:t>434</w:t>
            </w:r>
            <w:r>
              <w:rPr>
                <w:rFonts w:hint="default" w:ascii="Times New Roman" w:hAnsi="Times New Roman" w:eastAsia="宋体" w:cs="Times New Roman"/>
                <w:bCs/>
                <w:sz w:val="21"/>
                <w:szCs w:val="21"/>
              </w:rPr>
              <w:t>瓶</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304</w:t>
            </w:r>
            <w:r>
              <w:rPr>
                <w:rFonts w:hint="default" w:ascii="Times New Roman" w:hAnsi="Times New Roman" w:eastAsia="宋体" w:cs="Times New Roman"/>
                <w:bCs/>
                <w:sz w:val="21"/>
                <w:szCs w:val="21"/>
              </w:rPr>
              <w:t>瓶</w:t>
            </w:r>
          </w:p>
        </w:tc>
        <w:tc>
          <w:tcPr>
            <w:tcW w:w="991"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4" w:hRule="exact"/>
        </w:trPr>
        <w:tc>
          <w:tcPr>
            <w:tcW w:w="425" w:type="pct"/>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8</w:t>
            </w:r>
          </w:p>
        </w:tc>
        <w:tc>
          <w:tcPr>
            <w:tcW w:w="987" w:type="pct"/>
            <w:vAlign w:val="center"/>
          </w:tcPr>
          <w:p>
            <w:pPr>
              <w:widowControl/>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硝酸</w:t>
            </w:r>
          </w:p>
        </w:tc>
        <w:tc>
          <w:tcPr>
            <w:tcW w:w="753" w:type="pct"/>
            <w:vAlign w:val="center"/>
          </w:tcPr>
          <w:p>
            <w:pPr>
              <w:adjustRightInd w:val="0"/>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浓度68%</w:t>
            </w:r>
          </w:p>
          <w:p>
            <w:pPr>
              <w:adjustRightInd w:val="0"/>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2.5L/瓶</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eastAsia="宋体" w:cs="Times New Roman"/>
                <w:sz w:val="21"/>
                <w:szCs w:val="21"/>
              </w:rPr>
              <w:t>700</w:t>
            </w:r>
            <w:r>
              <w:rPr>
                <w:rFonts w:hint="default" w:ascii="Times New Roman" w:hAnsi="Times New Roman" w:eastAsia="宋体" w:cs="Times New Roman"/>
                <w:bCs/>
                <w:sz w:val="21"/>
                <w:szCs w:val="21"/>
              </w:rPr>
              <w:t>瓶</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490</w:t>
            </w:r>
            <w:r>
              <w:rPr>
                <w:rFonts w:hint="default" w:ascii="Times New Roman" w:hAnsi="Times New Roman" w:eastAsia="宋体" w:cs="Times New Roman"/>
                <w:bCs/>
                <w:sz w:val="21"/>
                <w:szCs w:val="21"/>
              </w:rPr>
              <w:t>瓶</w:t>
            </w:r>
          </w:p>
        </w:tc>
        <w:tc>
          <w:tcPr>
            <w:tcW w:w="991"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425" w:type="pct"/>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9</w:t>
            </w:r>
          </w:p>
        </w:tc>
        <w:tc>
          <w:tcPr>
            <w:tcW w:w="987" w:type="pct"/>
            <w:vAlign w:val="center"/>
          </w:tcPr>
          <w:p>
            <w:pPr>
              <w:widowControl/>
              <w:spacing w:line="3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氢氧化钠</w:t>
            </w:r>
          </w:p>
        </w:tc>
        <w:tc>
          <w:tcPr>
            <w:tcW w:w="753"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eastAsia="宋体" w:cs="Times New Roman"/>
                <w:bCs/>
                <w:sz w:val="21"/>
                <w:szCs w:val="21"/>
              </w:rPr>
              <w:t>6 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sz w:val="21"/>
                <w:szCs w:val="21"/>
                <w:lang w:val="en-US" w:eastAsia="zh-CN"/>
              </w:rPr>
              <w:t>2</w:t>
            </w:r>
            <w:r>
              <w:rPr>
                <w:rFonts w:hint="default" w:ascii="Times New Roman" w:hAnsi="Times New Roman" w:eastAsia="宋体" w:cs="Times New Roman"/>
                <w:bCs/>
                <w:sz w:val="21"/>
                <w:szCs w:val="21"/>
              </w:rPr>
              <w:t xml:space="preserve"> t/a</w:t>
            </w:r>
          </w:p>
        </w:tc>
        <w:tc>
          <w:tcPr>
            <w:tcW w:w="991" w:type="pct"/>
            <w:vMerge w:val="restart"/>
            <w:vAlign w:val="center"/>
          </w:tcPr>
          <w:p>
            <w:pPr>
              <w:spacing w:line="360" w:lineRule="exact"/>
              <w:jc w:val="center"/>
              <w:rPr>
                <w:rFonts w:hint="default" w:ascii="Times New Roman" w:hAnsi="Times New Roman" w:eastAsia="宋体" w:cs="Times New Roman"/>
                <w:bCs/>
                <w:szCs w:val="21"/>
                <w:lang w:eastAsia="zh-CN"/>
              </w:rPr>
            </w:pPr>
            <w:r>
              <w:rPr>
                <w:rFonts w:hint="default" w:ascii="Times New Roman" w:hAnsi="Times New Roman" w:cs="Times New Roman"/>
                <w:bCs/>
                <w:szCs w:val="21"/>
                <w:lang w:eastAsia="zh-CN"/>
              </w:rPr>
              <w:t>煮碱工序取消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425" w:type="pct"/>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10</w:t>
            </w:r>
          </w:p>
        </w:tc>
        <w:tc>
          <w:tcPr>
            <w:tcW w:w="987" w:type="pct"/>
            <w:vAlign w:val="center"/>
          </w:tcPr>
          <w:p>
            <w:pPr>
              <w:widowControl/>
              <w:spacing w:line="3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氢氧化钾</w:t>
            </w:r>
          </w:p>
        </w:tc>
        <w:tc>
          <w:tcPr>
            <w:tcW w:w="753"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923"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bCs/>
                <w:sz w:val="21"/>
                <w:szCs w:val="21"/>
                <w:lang w:val="en-US" w:eastAsia="zh-CN"/>
              </w:rPr>
              <w:t>2</w:t>
            </w:r>
            <w:r>
              <w:rPr>
                <w:rFonts w:hint="default" w:ascii="Times New Roman" w:hAnsi="Times New Roman" w:eastAsia="宋体" w:cs="Times New Roman"/>
                <w:bCs/>
                <w:sz w:val="21"/>
                <w:szCs w:val="21"/>
              </w:rPr>
              <w:t xml:space="preserve"> t/a</w:t>
            </w:r>
          </w:p>
        </w:tc>
        <w:tc>
          <w:tcPr>
            <w:tcW w:w="920"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sz w:val="21"/>
                <w:szCs w:val="21"/>
                <w:lang w:val="en-US" w:eastAsia="zh-CN"/>
              </w:rPr>
              <w:t>0</w:t>
            </w:r>
            <w:r>
              <w:rPr>
                <w:rFonts w:hint="default" w:ascii="Times New Roman" w:hAnsi="Times New Roman" w:eastAsia="宋体" w:cs="Times New Roman"/>
                <w:bCs/>
                <w:sz w:val="21"/>
                <w:szCs w:val="21"/>
              </w:rPr>
              <w:t xml:space="preserve"> t/a</w:t>
            </w:r>
          </w:p>
        </w:tc>
        <w:tc>
          <w:tcPr>
            <w:tcW w:w="991"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00" w:type="pct"/>
            <w:gridSpan w:val="6"/>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能源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1</w:t>
            </w:r>
          </w:p>
        </w:tc>
        <w:tc>
          <w:tcPr>
            <w:tcW w:w="987"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水</w:t>
            </w:r>
          </w:p>
        </w:tc>
        <w:tc>
          <w:tcPr>
            <w:tcW w:w="753"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923" w:type="pct"/>
            <w:vAlign w:val="center"/>
          </w:tcPr>
          <w:p>
            <w:pPr>
              <w:spacing w:line="360" w:lineRule="exact"/>
              <w:jc w:val="center"/>
              <w:rPr>
                <w:rFonts w:hint="default" w:ascii="Times New Roman" w:hAnsi="Times New Roman" w:eastAsia="宋体" w:cs="Times New Roman"/>
                <w:szCs w:val="24"/>
                <w:lang w:val="en-US" w:eastAsia="zh-CN"/>
              </w:rPr>
            </w:pPr>
            <w:r>
              <w:rPr>
                <w:rFonts w:hint="default" w:ascii="Times New Roman" w:hAnsi="Times New Roman" w:cs="Times New Roman"/>
                <w:lang w:val="en-US" w:eastAsia="zh-CN"/>
              </w:rPr>
              <w:t>2910</w:t>
            </w:r>
          </w:p>
        </w:tc>
        <w:tc>
          <w:tcPr>
            <w:tcW w:w="920"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lang w:val="en-US" w:eastAsia="zh-CN"/>
              </w:rPr>
              <w:t>2910</w:t>
            </w:r>
          </w:p>
        </w:tc>
        <w:tc>
          <w:tcPr>
            <w:tcW w:w="991" w:type="pct"/>
            <w:vMerge w:val="restar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kern w:val="0"/>
                <w:szCs w:val="21"/>
                <w:lang w:eastAsia="zh-CN"/>
              </w:rPr>
              <w:t>煮碱工序取消用电量减少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2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2</w:t>
            </w:r>
          </w:p>
        </w:tc>
        <w:tc>
          <w:tcPr>
            <w:tcW w:w="987"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电</w:t>
            </w:r>
          </w:p>
        </w:tc>
        <w:tc>
          <w:tcPr>
            <w:tcW w:w="753"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万KWh</w:t>
            </w:r>
          </w:p>
        </w:tc>
        <w:tc>
          <w:tcPr>
            <w:tcW w:w="923"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130</w:t>
            </w:r>
          </w:p>
        </w:tc>
        <w:tc>
          <w:tcPr>
            <w:tcW w:w="920"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kern w:val="0"/>
                <w:szCs w:val="21"/>
                <w:lang w:val="en-US" w:eastAsia="zh-CN"/>
              </w:rPr>
              <w:t>120</w:t>
            </w:r>
          </w:p>
        </w:tc>
        <w:tc>
          <w:tcPr>
            <w:tcW w:w="991" w:type="pct"/>
            <w:vMerge w:val="continue"/>
            <w:vAlign w:val="center"/>
          </w:tcPr>
          <w:p>
            <w:pPr>
              <w:spacing w:line="360" w:lineRule="exact"/>
              <w:jc w:val="center"/>
              <w:rPr>
                <w:rFonts w:hint="default" w:ascii="Times New Roman" w:hAnsi="Times New Roman" w:cs="Times New Roman"/>
                <w:bCs/>
                <w:szCs w:val="21"/>
              </w:rPr>
            </w:pPr>
          </w:p>
        </w:tc>
      </w:tr>
    </w:tbl>
    <w:p>
      <w:pPr>
        <w:adjustRightInd w:val="0"/>
        <w:snapToGrid w:val="0"/>
        <w:spacing w:line="520" w:lineRule="exact"/>
        <w:outlineLvl w:val="2"/>
        <w:rPr>
          <w:rFonts w:hint="default" w:ascii="Times New Roman" w:hAnsi="Times New Roman" w:eastAsia="楷体" w:cs="Times New Roman"/>
          <w:color w:val="000000"/>
          <w:sz w:val="24"/>
          <w:szCs w:val="24"/>
          <w:lang w:eastAsia="zh-CN"/>
        </w:rPr>
      </w:pPr>
      <w:r>
        <w:rPr>
          <w:rFonts w:hint="default" w:ascii="Times New Roman" w:hAnsi="Times New Roman" w:eastAsia="楷体" w:cs="Times New Roman"/>
          <w:color w:val="000000"/>
          <w:sz w:val="24"/>
          <w:szCs w:val="24"/>
        </w:rPr>
        <w:t>3.2.</w:t>
      </w:r>
      <w:r>
        <w:rPr>
          <w:rFonts w:hint="default" w:ascii="Times New Roman" w:hAnsi="Times New Roman" w:eastAsia="楷体" w:cs="Times New Roman"/>
          <w:color w:val="000000"/>
          <w:sz w:val="24"/>
          <w:szCs w:val="24"/>
          <w:lang w:val="en-US" w:eastAsia="zh-CN"/>
        </w:rPr>
        <w:t>4</w:t>
      </w:r>
      <w:r>
        <w:rPr>
          <w:rFonts w:hint="default" w:ascii="Times New Roman" w:hAnsi="Times New Roman" w:eastAsia="楷体" w:cs="Times New Roman"/>
          <w:color w:val="000000"/>
          <w:sz w:val="24"/>
          <w:szCs w:val="24"/>
        </w:rPr>
        <w:t>项目</w:t>
      </w:r>
      <w:r>
        <w:rPr>
          <w:rFonts w:hint="default" w:ascii="Times New Roman" w:hAnsi="Times New Roman" w:eastAsia="楷体" w:cs="Times New Roman"/>
          <w:color w:val="000000"/>
          <w:sz w:val="24"/>
          <w:szCs w:val="24"/>
          <w:lang w:eastAsia="zh-CN"/>
        </w:rPr>
        <w:t>产品方案</w:t>
      </w:r>
    </w:p>
    <w:p>
      <w:pPr>
        <w:adjustRightInd w:val="0"/>
        <w:snapToGrid w:val="0"/>
        <w:spacing w:line="520" w:lineRule="exact"/>
        <w:outlineLvl w:val="2"/>
        <w:rPr>
          <w:rFonts w:hint="default" w:ascii="Times New Roman" w:hAnsi="Times New Roman" w:cs="Times New Roman"/>
          <w:sz w:val="24"/>
          <w:szCs w:val="24"/>
        </w:rPr>
      </w:pPr>
      <w:r>
        <w:rPr>
          <w:rFonts w:hint="default" w:ascii="Times New Roman" w:hAnsi="Times New Roman" w:cs="Times New Roman"/>
          <w:sz w:val="24"/>
          <w:szCs w:val="24"/>
        </w:rPr>
        <w:t>项目验收产品方案、生产规模及主要参数见表</w:t>
      </w:r>
      <w:r>
        <w:rPr>
          <w:rFonts w:hint="default" w:ascii="Times New Roman" w:hAnsi="Times New Roman" w:cs="Times New Roman"/>
          <w:bCs/>
          <w:sz w:val="24"/>
          <w:szCs w:val="24"/>
        </w:rPr>
        <w:t>3.4-1。</w:t>
      </w:r>
    </w:p>
    <w:p>
      <w:pPr>
        <w:spacing w:line="500" w:lineRule="exact"/>
        <w:ind w:firstLine="1320" w:firstLineChars="55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表3.4-1         项目产品建设方案一览表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426"/>
        <w:gridCol w:w="1149"/>
        <w:gridCol w:w="3127"/>
        <w:gridCol w:w="3127"/>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1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13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环评产能及规格</w:t>
            </w:r>
          </w:p>
        </w:tc>
        <w:tc>
          <w:tcPr>
            <w:tcW w:w="1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实际产能及规格</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06" w:type="pct"/>
            <w:tcBorders>
              <w:left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128" w:type="pct"/>
            <w:tcBorders>
              <w:left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kern w:val="0"/>
                <w:szCs w:val="20"/>
              </w:rPr>
              <w:t>立方氮化硼单晶</w:t>
            </w:r>
          </w:p>
        </w:tc>
        <w:tc>
          <w:tcPr>
            <w:tcW w:w="1398" w:type="pct"/>
            <w:tcBorders>
              <w:top w:val="single" w:color="auto" w:sz="4" w:space="0"/>
              <w:left w:val="single" w:color="auto" w:sz="4" w:space="0"/>
              <w:bottom w:val="single" w:color="auto" w:sz="4" w:space="0"/>
              <w:right w:val="single" w:color="auto" w:sz="4" w:space="0"/>
            </w:tcBorders>
            <w:vAlign w:val="center"/>
          </w:tcPr>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5000万克拉/a</w:t>
            </w:r>
          </w:p>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80/100,100/120,120/140,</w:t>
            </w:r>
          </w:p>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140/170,170/200,200/230,230/270</w:t>
            </w:r>
          </w:p>
        </w:tc>
        <w:tc>
          <w:tcPr>
            <w:tcW w:w="1355" w:type="pct"/>
            <w:tcBorders>
              <w:top w:val="single" w:color="auto" w:sz="4" w:space="0"/>
              <w:left w:val="single" w:color="auto" w:sz="4" w:space="0"/>
              <w:bottom w:val="single" w:color="auto" w:sz="4" w:space="0"/>
              <w:right w:val="single" w:color="auto" w:sz="4" w:space="0"/>
            </w:tcBorders>
            <w:vAlign w:val="center"/>
          </w:tcPr>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3500万克拉/a</w:t>
            </w:r>
          </w:p>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80/100,100/120,120/140,</w:t>
            </w:r>
          </w:p>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140/170,170/200,200/230,230/270</w:t>
            </w:r>
          </w:p>
        </w:tc>
        <w:tc>
          <w:tcPr>
            <w:tcW w:w="711" w:type="pct"/>
            <w:tcBorders>
              <w:top w:val="single" w:color="auto" w:sz="4" w:space="0"/>
              <w:left w:val="single" w:color="auto" w:sz="4" w:space="0"/>
              <w:bottom w:val="single" w:color="auto" w:sz="4" w:space="0"/>
              <w:right w:val="single" w:color="auto" w:sz="4" w:space="0"/>
            </w:tcBorders>
            <w:vAlign w:val="center"/>
          </w:tcPr>
          <w:p>
            <w:pPr>
              <w:pStyle w:val="2"/>
              <w:spacing w:line="36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产能降低</w:t>
            </w:r>
          </w:p>
        </w:tc>
      </w:tr>
    </w:tbl>
    <w:p>
      <w:pPr>
        <w:spacing w:beforeLines="50"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3.5设备型号及数量</w:t>
      </w:r>
    </w:p>
    <w:p>
      <w:pPr>
        <w:spacing w:line="520" w:lineRule="exact"/>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项目设备名称、型号、数量见表3.5-1。</w:t>
      </w:r>
    </w:p>
    <w:p>
      <w:pPr>
        <w:spacing w:line="520" w:lineRule="exact"/>
        <w:ind w:firstLine="720" w:firstLineChars="300"/>
        <w:rPr>
          <w:rFonts w:hint="default" w:ascii="Times New Roman" w:hAnsi="Times New Roman" w:eastAsia="黑体" w:cs="Times New Roman"/>
          <w:sz w:val="24"/>
          <w:szCs w:val="24"/>
        </w:rPr>
      </w:pPr>
    </w:p>
    <w:p>
      <w:pPr>
        <w:spacing w:line="520" w:lineRule="exact"/>
        <w:ind w:firstLine="720" w:firstLineChars="300"/>
        <w:rPr>
          <w:rFonts w:hint="default" w:ascii="Times New Roman" w:hAnsi="Times New Roman" w:eastAsia="黑体" w:cs="Times New Roman"/>
          <w:sz w:val="24"/>
          <w:szCs w:val="24"/>
        </w:rPr>
      </w:pPr>
    </w:p>
    <w:p>
      <w:pPr>
        <w:spacing w:line="520" w:lineRule="exact"/>
        <w:ind w:firstLine="720" w:firstLineChars="3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表3.5-1       项目生产设备名称、型号、数量一览表</w:t>
      </w:r>
    </w:p>
    <w:tbl>
      <w:tblPr>
        <w:tblStyle w:val="42"/>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0"/>
        <w:gridCol w:w="1313"/>
        <w:gridCol w:w="1351"/>
        <w:gridCol w:w="1207"/>
        <w:gridCol w:w="1016"/>
        <w:gridCol w:w="29"/>
        <w:gridCol w:w="105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77" w:type="pct"/>
            <w:vMerge w:val="restar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761" w:type="pct"/>
            <w:vMerge w:val="restar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1483" w:type="pct"/>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环评批复</w:t>
            </w:r>
          </w:p>
        </w:tc>
        <w:tc>
          <w:tcPr>
            <w:tcW w:w="1219" w:type="pct"/>
            <w:gridSpan w:val="3"/>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实际建设</w:t>
            </w:r>
          </w:p>
        </w:tc>
        <w:tc>
          <w:tcPr>
            <w:tcW w:w="1157" w:type="pct"/>
            <w:vMerge w:val="restart"/>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377" w:type="pct"/>
            <w:vMerge w:val="continue"/>
            <w:vAlign w:val="center"/>
          </w:tcPr>
          <w:p>
            <w:pPr>
              <w:spacing w:line="360" w:lineRule="exact"/>
              <w:jc w:val="center"/>
              <w:rPr>
                <w:rFonts w:hint="default" w:ascii="Times New Roman" w:hAnsi="Times New Roman" w:cs="Times New Roman"/>
                <w:szCs w:val="21"/>
              </w:rPr>
            </w:pPr>
          </w:p>
        </w:tc>
        <w:tc>
          <w:tcPr>
            <w:tcW w:w="761" w:type="pct"/>
            <w:vMerge w:val="continue"/>
            <w:vAlign w:val="center"/>
          </w:tcPr>
          <w:p>
            <w:pPr>
              <w:spacing w:line="360" w:lineRule="exact"/>
              <w:jc w:val="center"/>
              <w:rPr>
                <w:rFonts w:hint="default" w:ascii="Times New Roman" w:hAnsi="Times New Roman" w:cs="Times New Roman"/>
                <w:szCs w:val="21"/>
              </w:rPr>
            </w:pPr>
          </w:p>
        </w:tc>
        <w:tc>
          <w:tcPr>
            <w:tcW w:w="783"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700"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1016" w:type="dxa"/>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1086" w:type="dxa"/>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1157" w:type="pct"/>
            <w:vMerge w:val="continue"/>
            <w:vAlign w:val="center"/>
          </w:tcPr>
          <w:p>
            <w:pPr>
              <w:spacing w:line="360" w:lineRule="exact"/>
              <w:jc w:val="center"/>
              <w:rPr>
                <w:rFonts w:hint="default" w:ascii="Times New Roman" w:hAnsi="Times New Roman"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761" w:type="pct"/>
            <w:vMerge w:val="restart"/>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r>
              <w:rPr>
                <w:rFonts w:hint="default" w:ascii="Times New Roman" w:hAnsi="Times New Roman" w:cs="Times New Roman"/>
                <w:szCs w:val="21"/>
              </w:rPr>
              <w:t>六面顶压机</w:t>
            </w:r>
          </w:p>
        </w:tc>
        <w:tc>
          <w:tcPr>
            <w:tcW w:w="783"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560</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016" w:type="dxa"/>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560</w:t>
            </w:r>
          </w:p>
        </w:tc>
        <w:tc>
          <w:tcPr>
            <w:tcW w:w="630" w:type="pct"/>
            <w:gridSpan w:val="2"/>
            <w:vAlign w:val="center"/>
          </w:tcPr>
          <w:p>
            <w:pPr>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0</w:t>
            </w:r>
          </w:p>
        </w:tc>
        <w:tc>
          <w:tcPr>
            <w:tcW w:w="1157" w:type="pct"/>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顶压机数量减少，产能减少，产能由5000万克拉减至3704万克拉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2</w:t>
            </w:r>
          </w:p>
        </w:tc>
        <w:tc>
          <w:tcPr>
            <w:tcW w:w="761" w:type="pct"/>
            <w:vMerge w:val="continue"/>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p>
        </w:tc>
        <w:tc>
          <w:tcPr>
            <w:tcW w:w="783"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750</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1016" w:type="dxa"/>
            <w:vAlign w:val="center"/>
          </w:tcPr>
          <w:p>
            <w:pPr>
              <w:widowControl/>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Cs w:val="21"/>
              </w:rPr>
              <w:t>750</w:t>
            </w:r>
          </w:p>
        </w:tc>
        <w:tc>
          <w:tcPr>
            <w:tcW w:w="630" w:type="pct"/>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3</w:t>
            </w:r>
          </w:p>
        </w:tc>
        <w:tc>
          <w:tcPr>
            <w:tcW w:w="761"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zh-CN"/>
              </w:rPr>
            </w:pPr>
          </w:p>
        </w:tc>
        <w:tc>
          <w:tcPr>
            <w:tcW w:w="783"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650</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33</w:t>
            </w:r>
          </w:p>
        </w:tc>
        <w:tc>
          <w:tcPr>
            <w:tcW w:w="589" w:type="pct"/>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650</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28</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4</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低温干燥箱</w:t>
            </w:r>
          </w:p>
        </w:tc>
        <w:tc>
          <w:tcPr>
            <w:tcW w:w="783" w:type="pct"/>
            <w:vAlign w:val="center"/>
          </w:tcPr>
          <w:p>
            <w:pPr>
              <w:jc w:val="center"/>
              <w:rPr>
                <w:rFonts w:hint="default" w:ascii="Times New Roman" w:hAnsi="Times New Roman" w:cs="Times New Roman"/>
                <w:kern w:val="0"/>
                <w:szCs w:val="21"/>
              </w:rPr>
            </w:pPr>
            <w:r>
              <w:rPr>
                <w:rFonts w:hint="default" w:ascii="Times New Roman" w:hAnsi="Times New Roman" w:eastAsia="宋体" w:cs="Times New Roman"/>
                <w:sz w:val="21"/>
                <w:szCs w:val="21"/>
              </w:rPr>
              <w:t>101箱</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eastAsia="宋体" w:cs="Times New Roman"/>
                <w:sz w:val="21"/>
                <w:szCs w:val="21"/>
              </w:rPr>
              <w:t>101箱</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24</w:t>
            </w:r>
          </w:p>
        </w:tc>
        <w:tc>
          <w:tcPr>
            <w:tcW w:w="1157" w:type="pct"/>
            <w:vAlign w:val="center"/>
          </w:tcPr>
          <w:p>
            <w:pPr>
              <w:spacing w:line="360" w:lineRule="exact"/>
              <w:jc w:val="center"/>
              <w:rPr>
                <w:rFonts w:hint="default" w:ascii="Times New Roman" w:hAnsi="Times New Roman" w:eastAsia="宋体" w:cs="Times New Roman"/>
                <w:szCs w:val="24"/>
                <w:lang w:eastAsia="zh-CN"/>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5</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摇床</w:t>
            </w:r>
          </w:p>
        </w:tc>
        <w:tc>
          <w:tcPr>
            <w:tcW w:w="783" w:type="pct"/>
            <w:vAlign w:val="center"/>
          </w:tcPr>
          <w:p>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sz w:val="21"/>
                <w:szCs w:val="21"/>
              </w:rPr>
              <w:t>3000</w:t>
            </w:r>
            <w:r>
              <w:rPr>
                <w:rFonts w:hint="default" w:ascii="Times New Roman" w:hAnsi="Times New Roman" w:cs="Times New Roman"/>
                <w:sz w:val="21"/>
                <w:szCs w:val="21"/>
                <w:lang w:val="en-US" w:eastAsia="zh-CN"/>
              </w:rPr>
              <w:t>L</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3</w:t>
            </w:r>
            <w:r>
              <w:rPr>
                <w:rFonts w:hint="default" w:ascii="Times New Roman" w:hAnsi="Times New Roman" w:eastAsia="宋体" w:cs="Times New Roman"/>
                <w:sz w:val="21"/>
                <w:szCs w:val="21"/>
              </w:rPr>
              <w:t>000</w:t>
            </w:r>
            <w:r>
              <w:rPr>
                <w:rFonts w:hint="default" w:ascii="Times New Roman" w:hAnsi="Times New Roman" w:cs="Times New Roman"/>
                <w:sz w:val="21"/>
                <w:szCs w:val="21"/>
                <w:lang w:val="en-US" w:eastAsia="zh-CN"/>
              </w:rPr>
              <w:t>L</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w:t>
            </w:r>
          </w:p>
        </w:tc>
        <w:tc>
          <w:tcPr>
            <w:tcW w:w="1157"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2台，产能减少，设备数量减少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6</w:t>
            </w:r>
          </w:p>
        </w:tc>
        <w:tc>
          <w:tcPr>
            <w:tcW w:w="761" w:type="pct"/>
            <w:vMerge w:val="restar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全自动粉压机</w:t>
            </w:r>
          </w:p>
        </w:tc>
        <w:tc>
          <w:tcPr>
            <w:tcW w:w="783" w:type="pct"/>
            <w:vAlign w:val="center"/>
          </w:tcPr>
          <w:p>
            <w:pPr>
              <w:jc w:val="center"/>
              <w:rPr>
                <w:rFonts w:hint="default" w:ascii="Times New Roman" w:hAnsi="Times New Roman" w:cs="Times New Roman"/>
                <w:kern w:val="0"/>
                <w:szCs w:val="21"/>
              </w:rPr>
            </w:pPr>
            <w:r>
              <w:rPr>
                <w:rFonts w:hint="default" w:ascii="Times New Roman" w:hAnsi="Times New Roman" w:eastAsia="宋体" w:cs="Times New Roman"/>
                <w:sz w:val="21"/>
                <w:szCs w:val="21"/>
              </w:rPr>
              <w:t>200T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016" w:type="dxa"/>
            <w:vAlign w:val="center"/>
          </w:tcPr>
          <w:p>
            <w:pPr>
              <w:jc w:val="center"/>
              <w:rPr>
                <w:rFonts w:hint="default" w:ascii="Times New Roman" w:hAnsi="Times New Roman" w:cs="Times New Roman"/>
                <w:kern w:val="0"/>
                <w:szCs w:val="21"/>
                <w:lang w:val="en-US" w:eastAsia="zh-CN"/>
              </w:rPr>
            </w:pPr>
            <w:r>
              <w:rPr>
                <w:rFonts w:hint="default" w:ascii="Times New Roman" w:hAnsi="Times New Roman" w:eastAsia="宋体" w:cs="Times New Roman"/>
                <w:sz w:val="21"/>
                <w:szCs w:val="21"/>
              </w:rPr>
              <w:t>200T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0</w:t>
            </w:r>
          </w:p>
        </w:tc>
        <w:tc>
          <w:tcPr>
            <w:tcW w:w="1157"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替换为200T油压机1台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7</w:t>
            </w:r>
          </w:p>
        </w:tc>
        <w:tc>
          <w:tcPr>
            <w:tcW w:w="761" w:type="pct"/>
            <w:vMerge w:val="continue"/>
            <w:vAlign w:val="center"/>
          </w:tcPr>
          <w:p>
            <w:pPr>
              <w:widowControl/>
              <w:spacing w:line="360" w:lineRule="exact"/>
              <w:jc w:val="center"/>
              <w:rPr>
                <w:rFonts w:hint="default" w:ascii="Times New Roman" w:hAnsi="Times New Roman" w:cs="Times New Roman"/>
                <w:kern w:val="0"/>
                <w:szCs w:val="21"/>
              </w:rPr>
            </w:pPr>
          </w:p>
        </w:tc>
        <w:tc>
          <w:tcPr>
            <w:tcW w:w="783" w:type="pct"/>
            <w:vAlign w:val="center"/>
          </w:tcPr>
          <w:p>
            <w:pPr>
              <w:jc w:val="center"/>
              <w:rPr>
                <w:rFonts w:hint="default" w:ascii="Times New Roman" w:hAnsi="Times New Roman" w:cs="Times New Roman"/>
                <w:kern w:val="0"/>
                <w:szCs w:val="21"/>
              </w:rPr>
            </w:pPr>
            <w:r>
              <w:rPr>
                <w:rFonts w:hint="default" w:ascii="Times New Roman" w:hAnsi="Times New Roman" w:eastAsia="宋体" w:cs="Times New Roman"/>
                <w:sz w:val="21"/>
                <w:szCs w:val="21"/>
              </w:rPr>
              <w:t>250T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1016" w:type="dxa"/>
            <w:vAlign w:val="center"/>
          </w:tcPr>
          <w:p>
            <w:pPr>
              <w:jc w:val="center"/>
              <w:rPr>
                <w:rFonts w:hint="default" w:ascii="Times New Roman" w:hAnsi="Times New Roman" w:cs="Times New Roman"/>
                <w:kern w:val="0"/>
                <w:szCs w:val="21"/>
                <w:lang w:val="en-US" w:eastAsia="zh-CN"/>
              </w:rPr>
            </w:pPr>
            <w:r>
              <w:rPr>
                <w:rFonts w:hint="default" w:ascii="Times New Roman" w:hAnsi="Times New Roman" w:eastAsia="宋体" w:cs="Times New Roman"/>
                <w:sz w:val="21"/>
                <w:szCs w:val="21"/>
              </w:rPr>
              <w:t>250T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377" w:type="pct"/>
            <w:vMerge w:val="restar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8</w:t>
            </w:r>
          </w:p>
        </w:tc>
        <w:tc>
          <w:tcPr>
            <w:tcW w:w="761" w:type="pct"/>
            <w:vMerge w:val="restar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混料机</w:t>
            </w:r>
          </w:p>
        </w:tc>
        <w:tc>
          <w:tcPr>
            <w:tcW w:w="783" w:type="pct"/>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300L</w:t>
            </w:r>
          </w:p>
        </w:tc>
        <w:tc>
          <w:tcPr>
            <w:tcW w:w="700" w:type="pct"/>
            <w:vMerge w:val="restar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300L</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Merge w:val="restart"/>
            <w:vAlign w:val="center"/>
          </w:tcPr>
          <w:p>
            <w:pPr>
              <w:spacing w:line="360" w:lineRule="exact"/>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混料机自制，规格变大，设备数量</w:t>
            </w:r>
            <w:r>
              <w:rPr>
                <w:rFonts w:hint="default" w:ascii="Times New Roman" w:hAnsi="Times New Roman" w:cs="Times New Roman"/>
                <w:kern w:val="0"/>
                <w:szCs w:val="21"/>
                <w:lang w:eastAsia="zh-CN"/>
              </w:rPr>
              <w:t>较环评减少</w:t>
            </w:r>
            <w:r>
              <w:rPr>
                <w:rFonts w:hint="default" w:ascii="Times New Roman" w:hAnsi="Times New Roman" w:cs="Times New Roman"/>
                <w:kern w:val="0"/>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377"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p>
        </w:tc>
        <w:tc>
          <w:tcPr>
            <w:tcW w:w="761" w:type="pct"/>
            <w:vMerge w:val="continue"/>
            <w:vAlign w:val="center"/>
          </w:tcPr>
          <w:p>
            <w:pPr>
              <w:widowControl/>
              <w:spacing w:line="360" w:lineRule="exact"/>
              <w:jc w:val="center"/>
              <w:rPr>
                <w:rFonts w:hint="default" w:ascii="Times New Roman" w:hAnsi="Times New Roman" w:eastAsia="宋体" w:cs="Times New Roman"/>
                <w:sz w:val="21"/>
                <w:szCs w:val="21"/>
              </w:rPr>
            </w:pPr>
          </w:p>
        </w:tc>
        <w:tc>
          <w:tcPr>
            <w:tcW w:w="783" w:type="pct"/>
            <w:vMerge w:val="continue"/>
            <w:vAlign w:val="center"/>
          </w:tcPr>
          <w:p>
            <w:pPr>
              <w:jc w:val="center"/>
              <w:rPr>
                <w:rFonts w:hint="default" w:ascii="Times New Roman" w:hAnsi="Times New Roman" w:cs="Times New Roman"/>
                <w:sz w:val="21"/>
                <w:szCs w:val="21"/>
                <w:lang w:val="en-US" w:eastAsia="zh-CN"/>
              </w:rPr>
            </w:pPr>
          </w:p>
        </w:tc>
        <w:tc>
          <w:tcPr>
            <w:tcW w:w="700" w:type="pct"/>
            <w:vMerge w:val="continue"/>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300L</w:t>
            </w:r>
          </w:p>
        </w:tc>
        <w:tc>
          <w:tcPr>
            <w:tcW w:w="630"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1157" w:type="pct"/>
            <w:vMerge w:val="continue"/>
            <w:vAlign w:val="center"/>
          </w:tcPr>
          <w:p>
            <w:pPr>
              <w:spacing w:line="360" w:lineRule="exact"/>
              <w:jc w:val="center"/>
              <w:rPr>
                <w:rFonts w:hint="default" w:ascii="Times New Roman" w:hAnsi="Times New Roman" w:cs="Times New Roman"/>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377"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p>
        </w:tc>
        <w:tc>
          <w:tcPr>
            <w:tcW w:w="761" w:type="pct"/>
            <w:vMerge w:val="continue"/>
            <w:vAlign w:val="center"/>
          </w:tcPr>
          <w:p>
            <w:pPr>
              <w:widowControl/>
              <w:spacing w:line="360" w:lineRule="exact"/>
              <w:jc w:val="center"/>
              <w:rPr>
                <w:rFonts w:hint="default" w:ascii="Times New Roman" w:hAnsi="Times New Roman" w:eastAsia="宋体" w:cs="Times New Roman"/>
                <w:sz w:val="21"/>
                <w:szCs w:val="21"/>
              </w:rPr>
            </w:pPr>
          </w:p>
        </w:tc>
        <w:tc>
          <w:tcPr>
            <w:tcW w:w="783" w:type="pct"/>
            <w:vMerge w:val="continue"/>
            <w:vAlign w:val="center"/>
          </w:tcPr>
          <w:p>
            <w:pPr>
              <w:jc w:val="center"/>
              <w:rPr>
                <w:rFonts w:hint="default" w:ascii="Times New Roman" w:hAnsi="Times New Roman" w:cs="Times New Roman"/>
                <w:sz w:val="21"/>
                <w:szCs w:val="21"/>
                <w:lang w:val="en-US" w:eastAsia="zh-CN"/>
              </w:rPr>
            </w:pPr>
          </w:p>
        </w:tc>
        <w:tc>
          <w:tcPr>
            <w:tcW w:w="700" w:type="pct"/>
            <w:vMerge w:val="continue"/>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900L</w:t>
            </w:r>
          </w:p>
        </w:tc>
        <w:tc>
          <w:tcPr>
            <w:tcW w:w="630"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1157" w:type="pct"/>
            <w:vMerge w:val="continue"/>
            <w:vAlign w:val="center"/>
          </w:tcPr>
          <w:p>
            <w:pPr>
              <w:spacing w:line="360" w:lineRule="exact"/>
              <w:jc w:val="center"/>
              <w:rPr>
                <w:rFonts w:hint="default" w:ascii="Times New Roman" w:hAnsi="Times New Roman" w:cs="Times New Roman"/>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9</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球磨机</w:t>
            </w:r>
          </w:p>
        </w:tc>
        <w:tc>
          <w:tcPr>
            <w:tcW w:w="783" w:type="pc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6</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自制</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157" w:type="pct"/>
            <w:vAlign w:val="center"/>
          </w:tcPr>
          <w:p>
            <w:pPr>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设备自制，产能减少设备数量</w:t>
            </w:r>
            <w:r>
              <w:rPr>
                <w:rFonts w:hint="default" w:ascii="Times New Roman" w:hAnsi="Times New Roman" w:cs="Times New Roman"/>
                <w:kern w:val="0"/>
                <w:szCs w:val="21"/>
                <w:lang w:eastAsia="zh-CN"/>
              </w:rPr>
              <w:t>较环评减少</w:t>
            </w:r>
            <w:r>
              <w:rPr>
                <w:rFonts w:hint="default" w:ascii="Times New Roman" w:hAnsi="Times New Roman" w:cs="Times New Roman"/>
                <w:kern w:val="0"/>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10</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除杂器</w:t>
            </w:r>
          </w:p>
        </w:tc>
        <w:tc>
          <w:tcPr>
            <w:tcW w:w="783" w:type="pc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sz w:val="21"/>
                <w:szCs w:val="21"/>
                <w:lang w:val="en-US" w:eastAsia="zh-CN"/>
              </w:rPr>
              <w:t>7</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0</w:t>
            </w:r>
          </w:p>
        </w:tc>
        <w:tc>
          <w:tcPr>
            <w:tcW w:w="1157" w:type="pct"/>
            <w:vAlign w:val="center"/>
          </w:tcPr>
          <w:p>
            <w:pPr>
              <w:spacing w:line="360" w:lineRule="exact"/>
              <w:jc w:val="center"/>
              <w:rPr>
                <w:rFonts w:hint="default" w:ascii="Times New Roman" w:hAnsi="Times New Roman" w:cs="Times New Roman"/>
                <w:kern w:val="0"/>
                <w:szCs w:val="21"/>
                <w:lang w:val="en-US"/>
              </w:rPr>
            </w:pPr>
            <w:r>
              <w:rPr>
                <w:rFonts w:hint="default" w:ascii="Times New Roman" w:hAnsi="Times New Roman" w:cs="Times New Roman"/>
                <w:szCs w:val="24"/>
                <w:lang w:val="en-US" w:eastAsia="zh-CN"/>
              </w:rPr>
              <w:t>原料品位较高，无需除杂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11</w:t>
            </w:r>
          </w:p>
        </w:tc>
        <w:tc>
          <w:tcPr>
            <w:tcW w:w="76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振动粉碎机</w:t>
            </w:r>
          </w:p>
        </w:tc>
        <w:tc>
          <w:tcPr>
            <w:tcW w:w="783" w:type="pct"/>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12</w:t>
            </w:r>
          </w:p>
        </w:tc>
        <w:tc>
          <w:tcPr>
            <w:tcW w:w="761"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真空包装机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5</w:t>
            </w:r>
          </w:p>
        </w:tc>
        <w:tc>
          <w:tcPr>
            <w:tcW w:w="589"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13</w:t>
            </w:r>
          </w:p>
        </w:tc>
        <w:tc>
          <w:tcPr>
            <w:tcW w:w="761"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真空手套箱</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589"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14</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大烘箱</w:t>
            </w:r>
          </w:p>
        </w:tc>
        <w:tc>
          <w:tcPr>
            <w:tcW w:w="783" w:type="pc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5</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15</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冷等静压机</w:t>
            </w:r>
          </w:p>
        </w:tc>
        <w:tc>
          <w:tcPr>
            <w:tcW w:w="78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300*400*300</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16</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油压机</w:t>
            </w:r>
          </w:p>
        </w:tc>
        <w:tc>
          <w:tcPr>
            <w:tcW w:w="78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较环评数量多</w:t>
            </w:r>
            <w:r>
              <w:rPr>
                <w:rFonts w:hint="default" w:ascii="Times New Roman" w:hAnsi="Times New Roman" w:cs="Times New Roman"/>
                <w:kern w:val="0"/>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17</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洗酸机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7</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18</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煮碱炉</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w:t>
            </w:r>
          </w:p>
        </w:tc>
        <w:tc>
          <w:tcPr>
            <w:tcW w:w="1157" w:type="pct"/>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取消煮碱、洗碱工序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19</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洗碱机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20</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旋振筛</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自制</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13</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旋振筛层数增加，分级</w:t>
            </w: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17台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21</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选型机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23</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22</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显微镜</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23</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冲击韧性仪</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Align w:val="center"/>
          </w:tcPr>
          <w:p>
            <w:pPr>
              <w:spacing w:line="36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szCs w:val="24"/>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24</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煮酸机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58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30" w:type="pct"/>
            <w:gridSpan w:val="2"/>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157" w:type="pct"/>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煮酸工序设备，环评时</w:t>
            </w:r>
            <w:r>
              <w:rPr>
                <w:rFonts w:hint="default" w:ascii="Times New Roman" w:hAnsi="Times New Roman" w:cs="Times New Roman"/>
                <w:kern w:val="0"/>
                <w:szCs w:val="21"/>
                <w:lang w:eastAsia="zh-CN"/>
              </w:rPr>
              <w:t>生产工艺已评价，</w:t>
            </w:r>
            <w:r>
              <w:rPr>
                <w:rFonts w:hint="default" w:ascii="Times New Roman" w:hAnsi="Times New Roman" w:cs="Times New Roman"/>
                <w:kern w:val="0"/>
                <w:szCs w:val="21"/>
                <w:lang w:val="en-US" w:eastAsia="zh-CN"/>
              </w:rPr>
              <w:t>设备遗漏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7"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25</w:t>
            </w:r>
          </w:p>
        </w:tc>
        <w:tc>
          <w:tcPr>
            <w:tcW w:w="76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煮水炉</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606"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0" w:type="auto"/>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26</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颚式破碎机</w:t>
            </w:r>
          </w:p>
        </w:tc>
        <w:tc>
          <w:tcPr>
            <w:tcW w:w="783"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606"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Align w:val="center"/>
          </w:tcPr>
          <w:p>
            <w:pPr>
              <w:spacing w:line="36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二次破碎较大物料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0" w:type="auto"/>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27</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高温炉</w:t>
            </w:r>
          </w:p>
        </w:tc>
        <w:tc>
          <w:tcPr>
            <w:tcW w:w="783" w:type="pct"/>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606"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4</w:t>
            </w:r>
          </w:p>
        </w:tc>
        <w:tc>
          <w:tcPr>
            <w:tcW w:w="1157" w:type="pct"/>
            <w:vMerge w:val="restart"/>
            <w:vAlign w:val="center"/>
          </w:tcPr>
          <w:p>
            <w:pPr>
              <w:spacing w:line="36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触媒生产设备，环评时生产工艺已评价，设备只统计了高温炉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0" w:type="auto"/>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sz w:val="21"/>
                <w:szCs w:val="22"/>
                <w:lang w:val="en-US" w:eastAsia="zh-CN" w:bidi="ar-SA"/>
              </w:rPr>
              <w:t>28</w:t>
            </w:r>
          </w:p>
        </w:tc>
        <w:tc>
          <w:tcPr>
            <w:tcW w:w="76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自制粉碎机</w:t>
            </w:r>
          </w:p>
        </w:tc>
        <w:tc>
          <w:tcPr>
            <w:tcW w:w="783" w:type="pct"/>
            <w:vAlign w:val="center"/>
          </w:tcPr>
          <w:p>
            <w:pPr>
              <w:jc w:val="center"/>
              <w:rPr>
                <w:rFonts w:hint="default" w:ascii="Times New Roman" w:hAnsi="Times New Roman" w:cs="Times New Roman"/>
                <w:sz w:val="21"/>
                <w:szCs w:val="21"/>
                <w:lang w:val="en-US" w:eastAsia="zh-CN"/>
              </w:rPr>
            </w:pP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w:t>
            </w:r>
          </w:p>
        </w:tc>
        <w:tc>
          <w:tcPr>
            <w:tcW w:w="606" w:type="pct"/>
            <w:gridSpan w:val="2"/>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Merge w:val="continue"/>
            <w:vAlign w:val="center"/>
          </w:tcPr>
          <w:p>
            <w:pPr>
              <w:spacing w:line="360" w:lineRule="exact"/>
              <w:jc w:val="center"/>
              <w:rPr>
                <w:rFonts w:hint="default" w:ascii="Times New Roman" w:hAnsi="Times New Roman" w:cs="Times New Roman"/>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0" w:type="auto"/>
            <w:vAlign w:val="top"/>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29</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制氮机</w:t>
            </w:r>
          </w:p>
        </w:tc>
        <w:tc>
          <w:tcPr>
            <w:tcW w:w="783" w:type="pct"/>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p>
        </w:tc>
        <w:tc>
          <w:tcPr>
            <w:tcW w:w="606" w:type="pct"/>
            <w:gridSpan w:val="2"/>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top"/>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Merge w:val="continue"/>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0" w:type="auto"/>
            <w:vAlign w:val="top"/>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30</w:t>
            </w:r>
          </w:p>
        </w:tc>
        <w:tc>
          <w:tcPr>
            <w:tcW w:w="761"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空压机</w:t>
            </w:r>
          </w:p>
        </w:tc>
        <w:tc>
          <w:tcPr>
            <w:tcW w:w="783" w:type="pct"/>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0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p>
        </w:tc>
        <w:tc>
          <w:tcPr>
            <w:tcW w:w="606" w:type="pct"/>
            <w:gridSpan w:val="2"/>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613" w:type="pct"/>
            <w:vAlign w:val="top"/>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157" w:type="pct"/>
            <w:vMerge w:val="continue"/>
          </w:tcPr>
          <w:p>
            <w:pPr>
              <w:spacing w:line="360" w:lineRule="exact"/>
              <w:jc w:val="center"/>
              <w:rPr>
                <w:rFonts w:hint="default" w:ascii="Times New Roman" w:hAnsi="Times New Roman" w:cs="Times New Roman"/>
                <w:kern w:val="0"/>
                <w:szCs w:val="21"/>
              </w:rPr>
            </w:pPr>
          </w:p>
        </w:tc>
      </w:tr>
    </w:tbl>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3.2.3环评批复落实情况</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比对《</w:t>
      </w:r>
      <w:r>
        <w:rPr>
          <w:rFonts w:hint="default" w:ascii="Times New Roman" w:hAnsi="Times New Roman" w:cs="Times New Roman"/>
          <w:sz w:val="24"/>
        </w:rPr>
        <w:t>信阳市德隆超硬材料有限公司年产5000万克拉高转化率锋利型立方氮化硼单晶项目</w:t>
      </w:r>
      <w:r>
        <w:rPr>
          <w:rFonts w:hint="default" w:ascii="Times New Roman" w:hAnsi="Times New Roman" w:cs="Times New Roman"/>
          <w:sz w:val="24"/>
          <w:szCs w:val="24"/>
        </w:rPr>
        <w:t>环境影响报告表》环评批复（</w:t>
      </w:r>
      <w:r>
        <w:rPr>
          <w:rFonts w:hint="default" w:ascii="Times New Roman" w:hAnsi="Times New Roman" w:cs="Times New Roman"/>
          <w:sz w:val="24"/>
          <w:szCs w:val="21"/>
          <w:lang w:val="en-US" w:eastAsia="zh-CN"/>
        </w:rPr>
        <w:t>信</w:t>
      </w:r>
      <w:r>
        <w:rPr>
          <w:rFonts w:hint="default" w:ascii="Times New Roman" w:hAnsi="Times New Roman" w:cs="Times New Roman"/>
          <w:sz w:val="24"/>
          <w:szCs w:val="21"/>
        </w:rPr>
        <w:t>环审[2021]</w:t>
      </w:r>
      <w:r>
        <w:rPr>
          <w:rFonts w:hint="default" w:ascii="Times New Roman" w:hAnsi="Times New Roman" w:cs="Times New Roman"/>
          <w:sz w:val="24"/>
          <w:szCs w:val="21"/>
          <w:lang w:val="en-US" w:eastAsia="zh-CN"/>
        </w:rPr>
        <w:t>31</w:t>
      </w:r>
      <w:r>
        <w:rPr>
          <w:rFonts w:hint="default" w:ascii="Times New Roman" w:hAnsi="Times New Roman" w:cs="Times New Roman"/>
          <w:sz w:val="24"/>
          <w:szCs w:val="21"/>
        </w:rPr>
        <w:t>号</w:t>
      </w:r>
      <w:r>
        <w:rPr>
          <w:rFonts w:hint="default" w:ascii="Times New Roman" w:hAnsi="Times New Roman" w:cs="Times New Roman"/>
          <w:color w:val="000000"/>
          <w:sz w:val="24"/>
          <w:szCs w:val="24"/>
        </w:rPr>
        <w:t>）</w:t>
      </w:r>
      <w:r>
        <w:rPr>
          <w:rFonts w:hint="default" w:ascii="Times New Roman" w:hAnsi="Times New Roman" w:cs="Times New Roman"/>
          <w:sz w:val="24"/>
          <w:szCs w:val="24"/>
        </w:rPr>
        <w:t>，现场落实情况见表3.2-3。</w:t>
      </w:r>
    </w:p>
    <w:p>
      <w:pPr>
        <w:adjustRightInd w:val="0"/>
        <w:snapToGrid w:val="0"/>
        <w:spacing w:line="52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表3.2-3     环评批复落实情况一览表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12"/>
        <w:gridCol w:w="44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项目</w:t>
            </w:r>
          </w:p>
        </w:tc>
        <w:tc>
          <w:tcPr>
            <w:tcW w:w="1532"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信环审[2021]31号文要求应落实的内容</w:t>
            </w: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实际建设情况</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lang w:bidi="he-IL"/>
              </w:rPr>
              <w:t>废水</w:t>
            </w:r>
          </w:p>
        </w:tc>
        <w:tc>
          <w:tcPr>
            <w:tcW w:w="1532" w:type="pct"/>
          </w:tcPr>
          <w:p>
            <w:pPr>
              <w:adjustRightInd w:val="0"/>
              <w:snapToGrid w:val="0"/>
              <w:spacing w:line="400" w:lineRule="exact"/>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rPr>
              <w:t>项目营运期办公生活污水经化粪池预处理满足《污水综合排放</w:t>
            </w:r>
            <w:r>
              <w:rPr>
                <w:rFonts w:hint="default" w:ascii="Times New Roman" w:hAnsi="Times New Roman" w:cs="Times New Roman"/>
                <w:color w:val="000000"/>
                <w:lang w:val="en-US" w:eastAsia="zh-CN"/>
              </w:rPr>
              <w:t>标准</w:t>
            </w:r>
            <w:r>
              <w:rPr>
                <w:rFonts w:hint="default" w:ascii="Times New Roman" w:hAnsi="Times New Roman" w:cs="Times New Roman"/>
                <w:color w:val="000000"/>
              </w:rPr>
              <w:t>》（GB8978-1996）</w:t>
            </w:r>
            <w:r>
              <w:rPr>
                <w:rFonts w:hint="default" w:ascii="Times New Roman" w:hAnsi="Times New Roman" w:cs="Times New Roman"/>
                <w:color w:val="000000"/>
                <w:lang w:eastAsia="zh-CN"/>
              </w:rPr>
              <w:t>表</w:t>
            </w:r>
            <w:r>
              <w:rPr>
                <w:rFonts w:hint="default" w:ascii="Times New Roman" w:hAnsi="Times New Roman" w:cs="Times New Roman"/>
                <w:color w:val="000000"/>
                <w:lang w:val="en-US" w:eastAsia="zh-CN"/>
              </w:rPr>
              <w:t>4三级标准，再接入市政污水管网，进入信阳市第一污水处理厂深度处理，项目产生的酸碱废水经中和沉淀后回用生产不排放。</w:t>
            </w:r>
          </w:p>
        </w:tc>
        <w:tc>
          <w:tcPr>
            <w:tcW w:w="2607" w:type="pct"/>
            <w:vAlign w:val="center"/>
          </w:tcPr>
          <w:p>
            <w:pPr>
              <w:adjustRightInd w:val="0"/>
              <w:snapToGrid w:val="0"/>
              <w:spacing w:line="400" w:lineRule="exact"/>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rPr>
              <w:t>生活污水依托现有工程的化粪池（40m</w:t>
            </w:r>
            <w:r>
              <w:rPr>
                <w:rFonts w:hint="default" w:ascii="Times New Roman" w:hAnsi="Times New Roman" w:cs="Times New Roman"/>
                <w:color w:val="000000"/>
                <w:vertAlign w:val="superscript"/>
              </w:rPr>
              <w:t>3</w:t>
            </w:r>
            <w:r>
              <w:rPr>
                <w:rFonts w:hint="default" w:ascii="Times New Roman" w:hAnsi="Times New Roman" w:cs="Times New Roman"/>
                <w:color w:val="000000"/>
              </w:rPr>
              <w:t>）处理后通过市政污水管网接入到信阳市第一污水处理厂深度处理</w:t>
            </w:r>
            <w:r>
              <w:rPr>
                <w:rFonts w:hint="default" w:ascii="Times New Roman" w:hAnsi="Times New Roman" w:cs="Times New Roman"/>
                <w:color w:val="000000"/>
                <w:lang w:eastAsia="zh-CN"/>
              </w:rPr>
              <w:t>。项目摇床工序及酸雾喷淋塔产生的废水经中和沉淀池处理后回用于摇床工序不外排。</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15" w:type="pct"/>
            <w:vAlign w:val="center"/>
          </w:tcPr>
          <w:p>
            <w:pPr>
              <w:adjustRightInd w:val="0"/>
              <w:snapToGrid w:val="0"/>
              <w:spacing w:line="400" w:lineRule="exact"/>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rPr>
              <w:t>废</w:t>
            </w:r>
            <w:r>
              <w:rPr>
                <w:rFonts w:hint="default" w:ascii="Times New Roman" w:hAnsi="Times New Roman" w:cs="Times New Roman"/>
                <w:color w:val="000000"/>
                <w:lang w:eastAsia="zh-CN"/>
              </w:rPr>
              <w:t>气</w:t>
            </w:r>
          </w:p>
        </w:tc>
        <w:tc>
          <w:tcPr>
            <w:tcW w:w="1532" w:type="pct"/>
            <w:vAlign w:val="center"/>
          </w:tcPr>
          <w:p>
            <w:pPr>
              <w:adjustRightInd w:val="0"/>
              <w:snapToGrid w:val="0"/>
              <w:spacing w:line="400" w:lineRule="exact"/>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项目严格落实《报告表》中废气防治措施，加强硫酸雾和氮氧化物废气收集，废气经处理后</w:t>
            </w:r>
            <w:r>
              <w:rPr>
                <w:rFonts w:hint="default" w:ascii="Times New Roman" w:hAnsi="Times New Roman" w:cs="Times New Roman"/>
                <w:color w:val="000000"/>
              </w:rPr>
              <w:t>满足《大气污染物综合排放标准》（GB16297-1996）表2</w:t>
            </w:r>
            <w:r>
              <w:rPr>
                <w:rFonts w:hint="default" w:ascii="Times New Roman" w:hAnsi="Times New Roman" w:cs="Times New Roman"/>
                <w:color w:val="000000"/>
                <w:lang w:eastAsia="zh-CN"/>
              </w:rPr>
              <w:t>标准，实现达标排放。</w:t>
            </w:r>
          </w:p>
        </w:tc>
        <w:tc>
          <w:tcPr>
            <w:tcW w:w="2607" w:type="pct"/>
          </w:tcPr>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压棒</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压棒工序操作平台四周少量起尘，起尘量较小，每台压机配套水吸收设施处理</w:t>
            </w:r>
            <w:r>
              <w:rPr>
                <w:rFonts w:hint="default" w:ascii="Times New Roman" w:hAnsi="Times New Roman" w:cs="Times New Roman"/>
                <w:color w:val="000000"/>
                <w:kern w:val="0"/>
                <w:szCs w:val="21"/>
              </w:rPr>
              <w:t>；</w:t>
            </w:r>
          </w:p>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浸泡</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rPr>
              <w:t>物料</w:t>
            </w:r>
            <w:r>
              <w:rPr>
                <w:rFonts w:hint="default" w:ascii="Times New Roman" w:hAnsi="Times New Roman" w:cs="Times New Roman"/>
                <w:color w:val="000000"/>
                <w:kern w:val="0"/>
                <w:szCs w:val="21"/>
                <w:lang w:eastAsia="zh-CN"/>
              </w:rPr>
              <w:t>在触媒作用下</w:t>
            </w:r>
            <w:r>
              <w:rPr>
                <w:rFonts w:hint="default" w:ascii="Times New Roman" w:hAnsi="Times New Roman" w:cs="Times New Roman"/>
                <w:color w:val="000000"/>
                <w:kern w:val="0"/>
                <w:szCs w:val="21"/>
              </w:rPr>
              <w:t>遇水分解</w:t>
            </w:r>
            <w:r>
              <w:rPr>
                <w:rFonts w:hint="default" w:ascii="Times New Roman" w:hAnsi="Times New Roman" w:cs="Times New Roman"/>
                <w:color w:val="000000"/>
                <w:kern w:val="0"/>
                <w:szCs w:val="21"/>
                <w:lang w:eastAsia="zh-CN"/>
              </w:rPr>
              <w:t>产生</w:t>
            </w:r>
            <w:r>
              <w:rPr>
                <w:rFonts w:hint="default" w:ascii="Times New Roman" w:hAnsi="Times New Roman" w:cs="Times New Roman"/>
                <w:color w:val="000000"/>
                <w:kern w:val="0"/>
                <w:szCs w:val="21"/>
              </w:rPr>
              <w:t>氨</w:t>
            </w:r>
            <w:r>
              <w:rPr>
                <w:rFonts w:hint="default" w:ascii="Times New Roman" w:hAnsi="Times New Roman" w:cs="Times New Roman"/>
                <w:color w:val="000000"/>
                <w:kern w:val="0"/>
                <w:szCs w:val="21"/>
                <w:lang w:eastAsia="zh-CN"/>
              </w:rPr>
              <w:t>气</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氨气又极易溶于水，因此浸泡工序产生的氨气经水吸收后少量外逸，浸泡工序密闭，微负压收集后</w:t>
            </w:r>
            <w:r>
              <w:rPr>
                <w:rFonts w:hint="default" w:ascii="Times New Roman" w:hAnsi="Times New Roman" w:cs="Times New Roman"/>
                <w:color w:val="000000"/>
                <w:kern w:val="0"/>
                <w:szCs w:val="21"/>
              </w:rPr>
              <w:t>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p>
          <w:p>
            <w:pPr>
              <w:adjustRightInd w:val="0"/>
              <w:snapToGrid w:val="0"/>
              <w:spacing w:line="400" w:lineRule="exac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泡酸</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泡酸工序使用煮酸工序更换的废酸，基本不再挥发酸雾，泡酸工序密闭，少量挥发的含酸废气</w:t>
            </w:r>
            <w:r>
              <w:rPr>
                <w:rFonts w:hint="default" w:ascii="Times New Roman" w:hAnsi="Times New Roman" w:cs="Times New Roman"/>
                <w:color w:val="000000"/>
                <w:kern w:val="0"/>
                <w:szCs w:val="21"/>
              </w:rPr>
              <w:t>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p>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煮酸</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煮酸工序密闭，</w:t>
            </w:r>
            <w:r>
              <w:rPr>
                <w:rFonts w:hint="default" w:ascii="Times New Roman" w:hAnsi="Times New Roman" w:cs="Times New Roman"/>
                <w:color w:val="000000"/>
                <w:kern w:val="0"/>
                <w:szCs w:val="21"/>
              </w:rPr>
              <w:t>产生的硫酸雾和NOx经冷凝回收酸液，含酸尾气经管道引至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r>
              <w:rPr>
                <w:rFonts w:hint="default" w:ascii="Times New Roman" w:hAnsi="Times New Roman" w:cs="Times New Roman"/>
                <w:color w:val="000000"/>
                <w:kern w:val="0"/>
                <w:szCs w:val="21"/>
                <w:lang w:eastAsia="zh-CN"/>
              </w:rPr>
              <w:t>。</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噪声</w:t>
            </w:r>
          </w:p>
        </w:tc>
        <w:tc>
          <w:tcPr>
            <w:tcW w:w="1532" w:type="pct"/>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lang w:eastAsia="zh-CN" w:bidi="he-IL"/>
              </w:rPr>
              <w:t>运营期噪声应通过厂房屏蔽、</w:t>
            </w:r>
            <w:r>
              <w:rPr>
                <w:rFonts w:hint="default" w:ascii="Times New Roman" w:hAnsi="Times New Roman" w:cs="Times New Roman"/>
                <w:color w:val="000000"/>
                <w:lang w:bidi="he-IL"/>
              </w:rPr>
              <w:t>基础减</w:t>
            </w:r>
            <w:r>
              <w:rPr>
                <w:rFonts w:hint="default" w:ascii="Times New Roman" w:hAnsi="Times New Roman" w:cs="Times New Roman"/>
                <w:color w:val="000000"/>
                <w:lang w:eastAsia="zh-CN" w:bidi="he-IL"/>
              </w:rPr>
              <w:t>振</w:t>
            </w:r>
            <w:r>
              <w:rPr>
                <w:rFonts w:hint="default" w:ascii="Times New Roman" w:hAnsi="Times New Roman" w:cs="Times New Roman"/>
                <w:color w:val="000000"/>
                <w:lang w:bidi="he-IL"/>
              </w:rPr>
              <w:t>等</w:t>
            </w:r>
            <w:r>
              <w:rPr>
                <w:rFonts w:hint="default" w:ascii="Times New Roman" w:hAnsi="Times New Roman" w:cs="Times New Roman"/>
                <w:color w:val="000000"/>
                <w:lang w:eastAsia="zh-CN" w:bidi="he-IL"/>
              </w:rPr>
              <w:t>降噪</w:t>
            </w:r>
            <w:r>
              <w:rPr>
                <w:rFonts w:hint="default" w:ascii="Times New Roman" w:hAnsi="Times New Roman" w:cs="Times New Roman"/>
                <w:color w:val="000000"/>
                <w:lang w:bidi="he-IL"/>
              </w:rPr>
              <w:t>措施</w:t>
            </w:r>
            <w:r>
              <w:rPr>
                <w:rFonts w:hint="default" w:ascii="Times New Roman" w:hAnsi="Times New Roman" w:cs="Times New Roman"/>
                <w:color w:val="000000"/>
                <w:lang w:eastAsia="zh-CN" w:bidi="he-IL"/>
              </w:rPr>
              <w:t>治理后</w:t>
            </w:r>
            <w:r>
              <w:rPr>
                <w:rFonts w:hint="default" w:ascii="Times New Roman" w:hAnsi="Times New Roman" w:cs="Times New Roman"/>
                <w:color w:val="000000"/>
                <w:lang w:bidi="he-IL"/>
              </w:rPr>
              <w:t>，</w:t>
            </w:r>
            <w:r>
              <w:rPr>
                <w:rFonts w:hint="default" w:ascii="Times New Roman" w:hAnsi="Times New Roman" w:cs="Times New Roman"/>
                <w:color w:val="000000"/>
                <w:lang w:eastAsia="zh-CN" w:bidi="he-IL"/>
              </w:rPr>
              <w:t>满足</w:t>
            </w:r>
            <w:r>
              <w:rPr>
                <w:rFonts w:hint="default" w:ascii="Times New Roman" w:hAnsi="Times New Roman" w:cs="Times New Roman"/>
                <w:color w:val="000000"/>
                <w:lang w:bidi="he-IL"/>
              </w:rPr>
              <w:t>《工业企业厂界环境噪声排放标准》（GB12348-2008)3类标准</w:t>
            </w:r>
            <w:r>
              <w:rPr>
                <w:rFonts w:hint="default" w:ascii="Times New Roman" w:hAnsi="Times New Roman" w:cs="Times New Roman"/>
                <w:color w:val="000000"/>
                <w:lang w:eastAsia="zh-CN" w:bidi="he-IL"/>
              </w:rPr>
              <w:t>要求</w:t>
            </w:r>
            <w:r>
              <w:rPr>
                <w:rFonts w:hint="default" w:ascii="Times New Roman" w:hAnsi="Times New Roman" w:cs="Times New Roman"/>
                <w:color w:val="000000"/>
                <w:lang w:bidi="he-IL"/>
              </w:rPr>
              <w:t>。</w:t>
            </w: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项目设备置于密闭厂房中，经厂房隔音、基础减振等措施后，厂界噪声达标</w:t>
            </w:r>
            <w:r>
              <w:rPr>
                <w:rFonts w:hint="default" w:ascii="Times New Roman" w:hAnsi="Times New Roman" w:cs="Times New Roman"/>
                <w:color w:val="000000"/>
                <w:lang w:bidi="he-IL"/>
              </w:rPr>
              <w:t>排放。</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固废</w:t>
            </w:r>
          </w:p>
        </w:tc>
        <w:tc>
          <w:tcPr>
            <w:tcW w:w="1532" w:type="pct"/>
          </w:tcPr>
          <w:p>
            <w:pPr>
              <w:pStyle w:val="144"/>
              <w:spacing w:line="400" w:lineRule="exact"/>
              <w:rPr>
                <w:rFonts w:hint="default" w:ascii="Times New Roman" w:hAnsi="Times New Roman" w:cs="Times New Roman"/>
                <w:color w:val="000000"/>
                <w:kern w:val="2"/>
                <w:sz w:val="21"/>
                <w:szCs w:val="22"/>
                <w:lang w:bidi="he-IL"/>
              </w:rPr>
            </w:pPr>
            <w:r>
              <w:rPr>
                <w:rFonts w:hint="default" w:ascii="Times New Roman" w:hAnsi="Times New Roman" w:cs="Times New Roman"/>
                <w:color w:val="000000"/>
                <w:kern w:val="2"/>
                <w:sz w:val="21"/>
                <w:szCs w:val="22"/>
                <w:lang w:eastAsia="zh-CN" w:bidi="he-IL"/>
              </w:rPr>
              <w:t>分类收集、存储，分类类处置利用。一般固废满足《一般工业固体废物贮存、处置场污染控制标准》（</w:t>
            </w:r>
            <w:r>
              <w:rPr>
                <w:rFonts w:hint="default" w:ascii="Times New Roman" w:hAnsi="Times New Roman" w:cs="Times New Roman"/>
                <w:color w:val="000000"/>
                <w:kern w:val="2"/>
                <w:sz w:val="21"/>
                <w:szCs w:val="22"/>
                <w:lang w:val="en-US" w:eastAsia="zh-CN" w:bidi="he-IL"/>
              </w:rPr>
              <w:t>GB18599-2001</w:t>
            </w:r>
            <w:r>
              <w:rPr>
                <w:rFonts w:hint="default" w:ascii="Times New Roman" w:hAnsi="Times New Roman" w:cs="Times New Roman"/>
                <w:color w:val="000000"/>
                <w:kern w:val="2"/>
                <w:sz w:val="21"/>
                <w:szCs w:val="22"/>
                <w:lang w:eastAsia="zh-CN" w:bidi="he-IL"/>
              </w:rPr>
              <w:t>）及修改清单要求，危险废物暂存间满足</w:t>
            </w:r>
            <w:r>
              <w:rPr>
                <w:rFonts w:hint="default" w:ascii="Times New Roman" w:hAnsi="Times New Roman" w:cs="Times New Roman"/>
                <w:color w:val="000000"/>
                <w:kern w:val="2"/>
                <w:sz w:val="21"/>
                <w:szCs w:val="22"/>
                <w:lang w:bidi="he-IL"/>
              </w:rPr>
              <w:t>《危险废物贮存污染控制标准》（GB18597-2001)及其修改单</w:t>
            </w:r>
            <w:r>
              <w:rPr>
                <w:rFonts w:hint="default" w:ascii="Times New Roman" w:hAnsi="Times New Roman" w:cs="Times New Roman"/>
                <w:color w:val="000000"/>
                <w:kern w:val="2"/>
                <w:sz w:val="21"/>
                <w:szCs w:val="22"/>
                <w:lang w:eastAsia="zh-CN" w:bidi="he-IL"/>
              </w:rPr>
              <w:t>要求</w:t>
            </w:r>
            <w:r>
              <w:rPr>
                <w:rFonts w:hint="default" w:ascii="Times New Roman" w:hAnsi="Times New Roman" w:cs="Times New Roman"/>
                <w:color w:val="000000"/>
                <w:kern w:val="2"/>
                <w:sz w:val="21"/>
                <w:szCs w:val="22"/>
                <w:lang w:bidi="he-IL"/>
              </w:rPr>
              <w:t>，避免对环境造成二次污染。</w:t>
            </w: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本项目固废主要为合成后拆分产生的叶腊石块、导电钢圈、碳管、白云石，摇床产生的废渣和中和池池底沉淀的污泥；生产办公人员产生的生活垃圾等。危险废物主要为废酸桶及废润滑油。</w:t>
            </w:r>
          </w:p>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szCs w:val="24"/>
                <w:lang w:eastAsia="zh-CN"/>
              </w:rPr>
              <w:t>一般固废暂存间面积</w:t>
            </w:r>
            <w:r>
              <w:rPr>
                <w:rFonts w:hint="default" w:ascii="Times New Roman" w:hAnsi="Times New Roman" w:cs="Times New Roman"/>
                <w:szCs w:val="24"/>
                <w:lang w:val="en-US" w:eastAsia="zh-CN"/>
              </w:rPr>
              <w:t>180m</w:t>
            </w:r>
            <w:r>
              <w:rPr>
                <w:rFonts w:hint="default" w:ascii="Times New Roman" w:hAnsi="Times New Roman" w:cs="Times New Roman"/>
                <w:szCs w:val="24"/>
                <w:vertAlign w:val="superscript"/>
                <w:lang w:val="en-US" w:eastAsia="zh-CN"/>
              </w:rPr>
              <w:t>2</w:t>
            </w:r>
            <w:r>
              <w:rPr>
                <w:rFonts w:hint="default" w:ascii="Times New Roman" w:hAnsi="Times New Roman" w:cs="Times New Roman"/>
                <w:szCs w:val="24"/>
                <w:vertAlign w:val="baseline"/>
                <w:lang w:val="en-US" w:eastAsia="zh-CN"/>
              </w:rPr>
              <w:t>，分区分类暂存，</w:t>
            </w:r>
            <w:r>
              <w:rPr>
                <w:rFonts w:hint="default" w:ascii="Times New Roman" w:hAnsi="Times New Roman" w:eastAsia="宋体" w:cs="Times New Roman"/>
                <w:sz w:val="21"/>
                <w:szCs w:val="21"/>
              </w:rPr>
              <w:t>叶腊、废白云石、废碳管、废钢片、废六方氮化硼交由物资回收部门统一处理</w:t>
            </w:r>
            <w:r>
              <w:rPr>
                <w:rFonts w:hint="default" w:ascii="Times New Roman" w:hAnsi="Times New Roman" w:eastAsia="宋体" w:cs="Times New Roman"/>
                <w:sz w:val="21"/>
                <w:szCs w:val="21"/>
                <w:lang w:eastAsia="zh-CN"/>
              </w:rPr>
              <w:t>，满足《一般工业固体废物贮存和填埋污染控制标准》（</w:t>
            </w:r>
            <w:r>
              <w:rPr>
                <w:rFonts w:hint="default" w:ascii="Times New Roman" w:hAnsi="Times New Roman" w:eastAsia="宋体" w:cs="Times New Roman"/>
                <w:sz w:val="21"/>
                <w:szCs w:val="21"/>
                <w:lang w:val="en-US" w:eastAsia="zh-CN"/>
              </w:rPr>
              <w:t>GB18599-2020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废酸瓶及其包装物，碱包装物交由资质单位处</w:t>
            </w:r>
            <w:r>
              <w:rPr>
                <w:rFonts w:hint="default" w:ascii="Times New Roman" w:hAnsi="Times New Roman" w:eastAsia="宋体" w:cs="Times New Roman"/>
                <w:sz w:val="21"/>
                <w:szCs w:val="21"/>
                <w:lang w:eastAsia="zh-CN"/>
              </w:rPr>
              <w:t>置，满足《危废废物贮存污染控制标准》（</w:t>
            </w:r>
            <w:r>
              <w:rPr>
                <w:rFonts w:hint="default" w:ascii="Times New Roman" w:hAnsi="Times New Roman" w:eastAsia="宋体" w:cs="Times New Roman"/>
                <w:sz w:val="21"/>
                <w:szCs w:val="21"/>
                <w:lang w:val="en-US" w:eastAsia="zh-CN"/>
              </w:rPr>
              <w:t>GB18597-2023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生活垃圾</w:t>
            </w:r>
            <w:r>
              <w:rPr>
                <w:rFonts w:hint="default" w:ascii="Times New Roman" w:hAnsi="Times New Roman" w:eastAsia="宋体" w:cs="Times New Roman"/>
                <w:sz w:val="21"/>
                <w:szCs w:val="21"/>
                <w:lang w:eastAsia="zh-CN"/>
              </w:rPr>
              <w:t>交由环卫部门处理。</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bookmarkEnd w:id="12"/>
      <w:bookmarkEnd w:id="13"/>
    </w:tbl>
    <w:p>
      <w:pPr>
        <w:pStyle w:val="5"/>
        <w:keepNext w:val="0"/>
        <w:keepLines w:val="0"/>
        <w:adjustRightInd w:val="0"/>
        <w:snapToGrid w:val="0"/>
        <w:spacing w:line="520" w:lineRule="exact"/>
        <w:rPr>
          <w:rFonts w:hint="default" w:ascii="Times New Roman" w:hAnsi="Times New Roman" w:cs="Times New Roman"/>
          <w:color w:val="000000"/>
          <w:sz w:val="24"/>
          <w:szCs w:val="24"/>
        </w:rPr>
      </w:pPr>
      <w:bookmarkStart w:id="14" w:name="_Toc9793"/>
    </w:p>
    <w:p>
      <w:pPr>
        <w:pStyle w:val="5"/>
        <w:keepNext w:val="0"/>
        <w:keepLines w:val="0"/>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3.6 水源及水平衡</w:t>
      </w:r>
      <w:bookmarkEnd w:id="14"/>
      <w:bookmarkStart w:id="15" w:name="_Toc6634"/>
    </w:p>
    <w:p>
      <w:pPr>
        <w:adjustRightInd w:val="0"/>
        <w:snapToGrid w:val="0"/>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lang w:eastAsia="zh-CN"/>
        </w:rPr>
        <w:t>项目</w:t>
      </w:r>
      <w:r>
        <w:rPr>
          <w:rFonts w:hint="default" w:ascii="Times New Roman" w:hAnsi="Times New Roman" w:cs="Times New Roman"/>
          <w:sz w:val="24"/>
        </w:rPr>
        <w:t>给水依托现有工程，由市政管网直接供水</w:t>
      </w:r>
      <w:r>
        <w:rPr>
          <w:rFonts w:hint="default" w:ascii="Times New Roman" w:hAnsi="Times New Roman" w:cs="Times New Roman"/>
          <w:sz w:val="24"/>
          <w:lang w:eastAsia="zh-CN"/>
        </w:rPr>
        <w:t>，经建设单位确认，项目实际用水量约</w:t>
      </w:r>
      <w:r>
        <w:rPr>
          <w:rFonts w:hint="default" w:ascii="Times New Roman" w:hAnsi="Times New Roman" w:cs="Times New Roman"/>
          <w:bCs/>
          <w:sz w:val="24"/>
          <w:lang w:val="en-US" w:eastAsia="zh-CN"/>
        </w:rPr>
        <w:t>9.7</w:t>
      </w:r>
      <w:r>
        <w:rPr>
          <w:rFonts w:hint="default" w:ascii="Times New Roman" w:hAnsi="Times New Roman" w:cs="Times New Roman"/>
          <w:bCs/>
          <w:sz w:val="24"/>
        </w:rPr>
        <w:t>m</w:t>
      </w:r>
      <w:r>
        <w:rPr>
          <w:rFonts w:hint="default" w:ascii="Times New Roman" w:hAnsi="Times New Roman" w:cs="Times New Roman"/>
          <w:bCs/>
          <w:sz w:val="24"/>
          <w:vertAlign w:val="superscript"/>
        </w:rPr>
        <w:t>3</w:t>
      </w:r>
      <w:r>
        <w:rPr>
          <w:rFonts w:hint="default" w:ascii="Times New Roman" w:hAnsi="Times New Roman" w:cs="Times New Roman"/>
          <w:bCs/>
          <w:sz w:val="24"/>
        </w:rPr>
        <w:t>/d，</w:t>
      </w:r>
      <w:r>
        <w:rPr>
          <w:rFonts w:hint="default" w:ascii="Times New Roman" w:hAnsi="Times New Roman" w:cs="Times New Roman"/>
          <w:bCs/>
          <w:sz w:val="24"/>
          <w:lang w:val="en-US" w:eastAsia="zh-CN"/>
        </w:rPr>
        <w:t>2910</w:t>
      </w:r>
      <w:r>
        <w:rPr>
          <w:rFonts w:hint="default" w:ascii="Times New Roman" w:hAnsi="Times New Roman" w:cs="Times New Roman"/>
          <w:bCs/>
          <w:sz w:val="24"/>
        </w:rPr>
        <w:t>m</w:t>
      </w:r>
      <w:r>
        <w:rPr>
          <w:rFonts w:hint="default" w:ascii="Times New Roman" w:hAnsi="Times New Roman" w:cs="Times New Roman"/>
          <w:bCs/>
          <w:sz w:val="24"/>
          <w:vertAlign w:val="superscript"/>
        </w:rPr>
        <w:t>3</w:t>
      </w:r>
      <w:r>
        <w:rPr>
          <w:rFonts w:hint="default" w:ascii="Times New Roman" w:hAnsi="Times New Roman" w:cs="Times New Roman"/>
          <w:bCs/>
          <w:sz w:val="24"/>
        </w:rPr>
        <w:t>/a。</w:t>
      </w:r>
      <w:r>
        <w:rPr>
          <w:rFonts w:hint="default" w:ascii="Times New Roman" w:hAnsi="Times New Roman" w:cs="Times New Roman"/>
          <w:sz w:val="24"/>
        </w:rPr>
        <w:t>项目生产产生的酸碱废水经中和沉淀后回用生产不外排</w:t>
      </w:r>
      <w:r>
        <w:rPr>
          <w:rFonts w:hint="default" w:ascii="Times New Roman" w:hAnsi="Times New Roman" w:cs="Times New Roman"/>
          <w:sz w:val="24"/>
          <w:lang w:eastAsia="zh-CN"/>
        </w:rPr>
        <w:t>，</w:t>
      </w:r>
      <w:r>
        <w:rPr>
          <w:rFonts w:hint="default" w:ascii="Times New Roman" w:hAnsi="Times New Roman" w:cs="Times New Roman"/>
          <w:sz w:val="24"/>
        </w:rPr>
        <w:t>因此，项目废水为员工生活污水</w:t>
      </w:r>
      <w:r>
        <w:rPr>
          <w:rFonts w:hint="default" w:ascii="Times New Roman" w:hAnsi="Times New Roman" w:cs="Times New Roman"/>
          <w:bCs/>
          <w:sz w:val="24"/>
        </w:rPr>
        <w:t>。</w:t>
      </w:r>
    </w:p>
    <w:p>
      <w:pPr>
        <w:numPr>
          <w:ilvl w:val="0"/>
          <w:numId w:val="2"/>
        </w:num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生活污水：项目职工30人，不提供食宿，全年生产300天，项目生活用水量为3.75t/d，1125t/a，生活污水产生量为3t/d，900t/a。</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lang w:val="en-US" w:eastAsia="zh-CN"/>
        </w:rPr>
        <w:t>循</w:t>
      </w:r>
      <w:r>
        <w:rPr>
          <w:rFonts w:hint="default" w:ascii="Times New Roman" w:hAnsi="Times New Roman" w:cs="Times New Roman"/>
          <w:sz w:val="24"/>
        </w:rPr>
        <w:t>环冷却补充水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本项目设备冷却水需补充2.6m</w:t>
      </w:r>
      <w:r>
        <w:rPr>
          <w:rFonts w:hint="default" w:ascii="Times New Roman" w:hAnsi="Times New Roman" w:cs="Times New Roman"/>
          <w:sz w:val="24"/>
          <w:vertAlign w:val="superscript"/>
        </w:rPr>
        <w:t>3</w:t>
      </w:r>
      <w:r>
        <w:rPr>
          <w:rFonts w:hint="default" w:ascii="Times New Roman" w:hAnsi="Times New Roman" w:cs="Times New Roman"/>
          <w:sz w:val="24"/>
        </w:rPr>
        <w:t>/d，摇床需补充1.4m</w:t>
      </w:r>
      <w:r>
        <w:rPr>
          <w:rFonts w:hint="default" w:ascii="Times New Roman" w:hAnsi="Times New Roman" w:cs="Times New Roman"/>
          <w:sz w:val="24"/>
          <w:vertAlign w:val="superscript"/>
        </w:rPr>
        <w:t>3</w:t>
      </w:r>
      <w:r>
        <w:rPr>
          <w:rFonts w:hint="default" w:ascii="Times New Roman" w:hAnsi="Times New Roman" w:cs="Times New Roman"/>
          <w:sz w:val="24"/>
        </w:rPr>
        <w:t>/d，循环水箱补水1.3m3/d，加热水洗0.65m</w:t>
      </w:r>
      <w:r>
        <w:rPr>
          <w:rFonts w:hint="default" w:ascii="Times New Roman" w:hAnsi="Times New Roman" w:cs="Times New Roman"/>
          <w:sz w:val="24"/>
          <w:vertAlign w:val="superscript"/>
        </w:rPr>
        <w:t>3</w:t>
      </w:r>
      <w:r>
        <w:rPr>
          <w:rFonts w:hint="default" w:ascii="Times New Roman" w:hAnsi="Times New Roman" w:cs="Times New Roman"/>
          <w:sz w:val="24"/>
        </w:rPr>
        <w:t>/d，废水全部循环使用不外排，考虑蒸发损耗，仅定期补充新鲜水。</w:t>
      </w:r>
    </w:p>
    <w:p>
      <w:pPr>
        <w:adjustRightInd w:val="0"/>
        <w:snapToGrid w:val="0"/>
        <w:spacing w:line="360" w:lineRule="auto"/>
        <w:ind w:firstLine="480" w:firstLineChars="200"/>
        <w:jc w:val="center"/>
        <w:rPr>
          <w:rFonts w:hint="default" w:ascii="Times New Roman" w:hAnsi="Times New Roman" w:cs="Times New Roman"/>
          <w:bCs/>
          <w:sz w:val="24"/>
        </w:rPr>
      </w:pPr>
      <w:r>
        <w:rPr>
          <w:rFonts w:hint="default" w:ascii="Times New Roman" w:hAnsi="Times New Roman" w:cs="Times New Roman"/>
          <w:sz w:val="24"/>
        </w:rPr>
        <w:object>
          <v:shape id="_x0000_i1025" o:spt="75" type="#_x0000_t75" style="height:300.75pt;width:257.2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pStyle w:val="2"/>
        <w:jc w:val="center"/>
        <w:rPr>
          <w:rFonts w:hint="default" w:ascii="Times New Roman" w:hAnsi="Times New Roman" w:eastAsia="黑体" w:cs="Times New Roman"/>
          <w:bCs/>
          <w:color w:val="auto"/>
          <w:kern w:val="2"/>
          <w:szCs w:val="21"/>
        </w:rPr>
      </w:pPr>
      <w:r>
        <w:rPr>
          <w:rFonts w:hint="default" w:ascii="Times New Roman" w:hAnsi="Times New Roman" w:eastAsia="黑体" w:cs="Times New Roman"/>
          <w:bCs/>
          <w:color w:val="auto"/>
          <w:kern w:val="2"/>
          <w:szCs w:val="21"/>
        </w:rPr>
        <w:t>图</w:t>
      </w:r>
      <w:r>
        <w:rPr>
          <w:rFonts w:hint="default" w:ascii="Times New Roman" w:hAnsi="Times New Roman" w:eastAsia="黑体" w:cs="Times New Roman"/>
          <w:bCs/>
          <w:color w:val="auto"/>
          <w:kern w:val="2"/>
          <w:szCs w:val="21"/>
          <w:lang w:val="en-US" w:eastAsia="zh-CN"/>
        </w:rPr>
        <w:t>1</w:t>
      </w:r>
      <w:r>
        <w:rPr>
          <w:rFonts w:hint="default" w:ascii="Times New Roman" w:hAnsi="Times New Roman" w:eastAsia="黑体" w:cs="Times New Roman"/>
          <w:bCs/>
          <w:color w:val="auto"/>
          <w:kern w:val="2"/>
          <w:szCs w:val="21"/>
        </w:rPr>
        <w:t xml:space="preserve">  项目水平衡图（单位：m</w:t>
      </w:r>
      <w:r>
        <w:rPr>
          <w:rFonts w:hint="default" w:ascii="Times New Roman" w:hAnsi="Times New Roman" w:eastAsia="黑体" w:cs="Times New Roman"/>
          <w:bCs/>
          <w:color w:val="auto"/>
          <w:kern w:val="2"/>
          <w:szCs w:val="21"/>
          <w:vertAlign w:val="superscript"/>
        </w:rPr>
        <w:t>3</w:t>
      </w:r>
      <w:r>
        <w:rPr>
          <w:rFonts w:hint="default" w:ascii="Times New Roman" w:hAnsi="Times New Roman" w:eastAsia="黑体" w:cs="Times New Roman"/>
          <w:bCs/>
          <w:color w:val="auto"/>
          <w:kern w:val="2"/>
          <w:szCs w:val="21"/>
        </w:rPr>
        <w:t>/d）</w:t>
      </w:r>
    </w:p>
    <w:p>
      <w:pPr>
        <w:pStyle w:val="5"/>
        <w:keepNext w:val="0"/>
        <w:keepLines w:val="0"/>
        <w:adjustRightInd w:val="0"/>
        <w:snapToGrid w:val="0"/>
        <w:spacing w:line="520" w:lineRule="exact"/>
        <w:rPr>
          <w:rFonts w:hint="default" w:ascii="Times New Roman" w:hAnsi="Times New Roman" w:cs="Times New Roman"/>
          <w:color w:val="000000"/>
          <w:sz w:val="24"/>
          <w:szCs w:val="24"/>
        </w:rPr>
      </w:pPr>
    </w:p>
    <w:p>
      <w:pPr>
        <w:pStyle w:val="5"/>
        <w:keepNext w:val="0"/>
        <w:keepLines w:val="0"/>
        <w:adjustRightInd w:val="0"/>
        <w:snapToGrid w:val="0"/>
        <w:spacing w:line="520" w:lineRule="exact"/>
        <w:rPr>
          <w:rFonts w:hint="default" w:ascii="Times New Roman" w:hAnsi="Times New Roman" w:cs="Times New Roman"/>
          <w:color w:val="000000"/>
          <w:sz w:val="24"/>
          <w:szCs w:val="24"/>
        </w:rPr>
      </w:pPr>
    </w:p>
    <w:p>
      <w:pPr>
        <w:pStyle w:val="5"/>
        <w:keepNext w:val="0"/>
        <w:keepLines w:val="0"/>
        <w:adjustRightInd w:val="0"/>
        <w:snapToGrid w:val="0"/>
        <w:spacing w:line="520" w:lineRule="exact"/>
        <w:rPr>
          <w:rFonts w:hint="default" w:ascii="Times New Roman" w:hAnsi="Times New Roman" w:cs="Times New Roman"/>
          <w:color w:val="000000"/>
          <w:sz w:val="24"/>
          <w:szCs w:val="24"/>
        </w:rPr>
      </w:pPr>
    </w:p>
    <w:p>
      <w:pPr>
        <w:pStyle w:val="5"/>
        <w:keepNext w:val="0"/>
        <w:keepLines w:val="0"/>
        <w:adjustRightInd w:val="0"/>
        <w:snapToGrid w:val="0"/>
        <w:spacing w:line="520" w:lineRule="exact"/>
        <w:rPr>
          <w:rFonts w:hint="default" w:ascii="Times New Roman" w:hAnsi="Times New Roman" w:cs="Times New Roman"/>
          <w:color w:val="000000"/>
          <w:sz w:val="24"/>
          <w:szCs w:val="24"/>
        </w:rPr>
      </w:pPr>
    </w:p>
    <w:p>
      <w:pPr>
        <w:pStyle w:val="5"/>
        <w:keepNext w:val="0"/>
        <w:keepLines w:val="0"/>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 生产工艺</w:t>
      </w:r>
      <w:bookmarkEnd w:id="15"/>
    </w:p>
    <w:p>
      <w:pPr>
        <w:rPr>
          <w:rFonts w:hint="default" w:ascii="Times New Roman" w:hAnsi="Times New Roman" w:cs="Times New Roman"/>
          <w:sz w:val="24"/>
        </w:rPr>
      </w:pPr>
      <w:r>
        <w:rPr>
          <w:rFonts w:hint="default" w:ascii="Times New Roman" w:hAnsi="Times New Roman" w:cs="Times New Roman"/>
          <w:sz w:val="24"/>
        </w:rPr>
        <w:pict>
          <v:rect id="_x0000_s4104" o:spid="_x0000_s4104" o:spt="1" style="position:absolute;left:0pt;margin-left:35.95pt;margin-top:90.4pt;height:116.25pt;width:57.75pt;z-index:251662336;mso-width-relative:page;mso-height-relative:page;" fillcolor="#FFFFFF" filled="t" stroked="t" coordsize="21600,21600">
            <v:path/>
            <v:fill on="t" color2="#FFFFFF" opacity="0f" focussize="0,0"/>
            <v:stroke weight="1pt" color="#FF0000"/>
            <v:imagedata o:title=""/>
            <o:lock v:ext="edit" aspectratio="f"/>
          </v:rect>
        </w:pict>
      </w:r>
      <w:r>
        <w:rPr>
          <w:rFonts w:hint="default" w:ascii="Times New Roman" w:hAnsi="Times New Roman" w:cs="Times New Roman"/>
          <w:sz w:val="24"/>
        </w:rPr>
        <w:object>
          <v:shape id="_x0000_i1026" o:spt="75" type="#_x0000_t75" style="height:238.85pt;width:413.3pt;" o:ole="t" filled="f" o:preferrelative="t" stroked="f" coordsize="21600,21600">
            <v:path/>
            <v:fill on="f" focussize="0,0"/>
            <v:stroke on="f"/>
            <v:imagedata r:id="rId8" o:title=""/>
            <o:lock v:ext="edit" aspectratio="t"/>
            <w10:wrap type="none"/>
            <w10:anchorlock/>
          </v:shape>
          <o:OLEObject Type="Embed" ProgID="Visio.Drawing.11" ShapeID="_x0000_i1026" DrawAspect="Content" ObjectID="_1468075726" r:id="rId7">
            <o:LockedField>false</o:LockedField>
          </o:OLEObject>
        </w:object>
      </w:r>
    </w:p>
    <w:p>
      <w:pPr>
        <w:widowControl/>
        <w:spacing w:line="360" w:lineRule="auto"/>
        <w:ind w:firstLine="480" w:firstLineChars="200"/>
        <w:jc w:val="center"/>
        <w:rPr>
          <w:rFonts w:hint="default" w:ascii="Times New Roman" w:hAnsi="Times New Roman" w:eastAsia="黑体" w:cs="Times New Roman"/>
          <w:bCs/>
          <w:sz w:val="24"/>
          <w:szCs w:val="21"/>
        </w:rPr>
      </w:pPr>
    </w:p>
    <w:p>
      <w:pPr>
        <w:widowControl/>
        <w:spacing w:line="360" w:lineRule="auto"/>
        <w:ind w:firstLine="480" w:firstLineChars="200"/>
        <w:jc w:val="center"/>
        <w:rPr>
          <w:rFonts w:hint="default" w:ascii="Times New Roman" w:hAnsi="Times New Roman" w:eastAsia="黑体" w:cs="Times New Roman"/>
          <w:bCs/>
          <w:sz w:val="24"/>
          <w:szCs w:val="21"/>
        </w:rPr>
      </w:pPr>
      <w:r>
        <w:rPr>
          <w:rFonts w:hint="default" w:ascii="Times New Roman" w:hAnsi="Times New Roman" w:eastAsia="黑体" w:cs="Times New Roman"/>
          <w:bCs/>
          <w:sz w:val="24"/>
          <w:szCs w:val="21"/>
        </w:rPr>
        <w:t>图</w:t>
      </w:r>
      <w:r>
        <w:rPr>
          <w:rFonts w:hint="default" w:ascii="Times New Roman" w:hAnsi="Times New Roman" w:eastAsia="黑体" w:cs="Times New Roman"/>
          <w:bCs/>
          <w:sz w:val="24"/>
          <w:szCs w:val="21"/>
          <w:lang w:val="en-US" w:eastAsia="zh-CN"/>
        </w:rPr>
        <w:t>2</w:t>
      </w:r>
      <w:r>
        <w:rPr>
          <w:rFonts w:hint="default" w:ascii="Times New Roman" w:hAnsi="Times New Roman" w:eastAsia="黑体" w:cs="Times New Roman"/>
          <w:bCs/>
          <w:sz w:val="24"/>
          <w:szCs w:val="21"/>
        </w:rPr>
        <w:t xml:space="preserve">   项目</w:t>
      </w:r>
      <w:r>
        <w:rPr>
          <w:rFonts w:hint="default" w:ascii="Times New Roman" w:hAnsi="Times New Roman" w:eastAsia="黑体" w:cs="Times New Roman"/>
          <w:bCs/>
          <w:sz w:val="24"/>
          <w:szCs w:val="21"/>
          <w:lang w:eastAsia="zh-CN"/>
        </w:rPr>
        <w:t>环评时期</w:t>
      </w:r>
      <w:r>
        <w:rPr>
          <w:rFonts w:hint="default" w:ascii="Times New Roman" w:hAnsi="Times New Roman" w:eastAsia="黑体" w:cs="Times New Roman"/>
          <w:bCs/>
          <w:sz w:val="24"/>
          <w:szCs w:val="21"/>
        </w:rPr>
        <w:t>生产工艺流程及产污环节示意图</w:t>
      </w:r>
    </w:p>
    <w:p>
      <w:pPr>
        <w:pStyle w:val="2"/>
        <w:jc w:val="center"/>
        <w:rPr>
          <w:rFonts w:hint="default" w:ascii="Times New Roman" w:hAnsi="Times New Roman" w:cs="Times New Roman"/>
          <w:color w:val="auto"/>
        </w:rPr>
      </w:pPr>
      <w:r>
        <w:rPr>
          <w:rFonts w:hint="default" w:ascii="Times New Roman" w:hAnsi="Times New Roman" w:cs="Times New Roman"/>
          <w:sz w:val="24"/>
        </w:rPr>
        <w:pict>
          <v:rect id="_x0000_s4119" o:spid="_x0000_s4119" o:spt="1" style="position:absolute;left:0pt;margin-left:209.25pt;margin-top:73.05pt;height:29.25pt;width:59.2pt;z-index:251675648;mso-width-relative:page;mso-height-relative:page;" fillcolor="#FFFFFF" filled="t" stroked="t" coordsize="21600,21600">
            <v:path/>
            <v:fill on="t" color2="#FFFFFF" opacity="0f" focussize="0,0"/>
            <v:stroke weight="1pt" color="#FF0000" joinstyle="miter"/>
            <v:imagedata o:title=""/>
            <o:lock v:ext="edit" aspectratio="f"/>
          </v:rect>
        </w:pict>
      </w:r>
      <w:r>
        <w:rPr>
          <w:rFonts w:hint="default" w:ascii="Times New Roman" w:hAnsi="Times New Roman" w:cs="Times New Roman"/>
          <w:sz w:val="24"/>
        </w:rPr>
        <w:pict>
          <v:rect id="_x0000_s4118" o:spid="_x0000_s4118" o:spt="1" style="position:absolute;left:0pt;margin-left:223.5pt;margin-top:179.55pt;height:29.25pt;width:57.75pt;z-index:251674624;mso-width-relative:page;mso-height-relative:page;" fillcolor="#FFFFFF" filled="t" stroked="t" coordsize="21600,21600">
            <v:path/>
            <v:fill on="t" color2="#FFFFFF" opacity="0f" focussize="0,0"/>
            <v:stroke weight="1pt" color="#FF0000" joinstyle="miter"/>
            <v:imagedata o:title=""/>
            <o:lock v:ext="edit" aspectratio="f"/>
          </v:rect>
        </w:pict>
      </w:r>
      <w:r>
        <w:rPr>
          <w:rFonts w:hint="default" w:ascii="Times New Roman" w:hAnsi="Times New Roman" w:cs="Times New Roman"/>
          <w:sz w:val="24"/>
        </w:rPr>
        <w:pict>
          <v:rect id="_x0000_s4105" o:spid="_x0000_s4105" o:spt="1" style="position:absolute;left:0pt;margin-left:36.75pt;margin-top:98.55pt;height:116.25pt;width:57.75pt;z-index:251666432;mso-width-relative:page;mso-height-relative:page;" fillcolor="#FFFFFF" filled="t" stroked="t" coordsize="21600,21600">
            <v:path/>
            <v:fill on="t" color2="#FFFFFF" opacity="0f" focussize="0,0"/>
            <v:stroke weight="1pt" color="#FF0000"/>
            <v:imagedata o:title=""/>
            <o:lock v:ext="edit" aspectratio="f"/>
          </v:rect>
        </w:pict>
      </w:r>
      <w:r>
        <w:rPr>
          <w:rFonts w:hint="default" w:ascii="Times New Roman" w:hAnsi="Times New Roman" w:cs="Times New Roman"/>
          <w:sz w:val="24"/>
        </w:rPr>
        <w:pict>
          <v:shape id="_x0000_s4098" o:spid="_x0000_s4098" o:spt="202" type="#_x0000_t202" style="position:absolute;left:0pt;margin-left:50.35pt;margin-top:104pt;height:22.5pt;width:39pt;z-index:251660288;mso-width-relative:page;mso-height-relative:page;" fillcolor="#FFFFFF" filled="t" stroked="f" coordsize="21600,21600">
            <v:path/>
            <v:fill on="t" color2="#FFFFFF" opacity="0f" focussize="0,0"/>
            <v:stroke on="f"/>
            <v:imagedata o:title=""/>
            <o:lock v:ext="edit" aspectratio="f"/>
            <v:textbox>
              <w:txbxContent>
                <w:p>
                  <w:pPr>
                    <w:rPr>
                      <w:rFonts w:hint="eastAsia" w:eastAsia="宋体"/>
                      <w:lang w:eastAsia="zh-CN"/>
                    </w:rPr>
                  </w:pPr>
                  <w:r>
                    <w:rPr>
                      <w:rFonts w:hint="eastAsia"/>
                      <w:lang w:eastAsia="zh-CN"/>
                    </w:rPr>
                    <w:t>泡酸</w:t>
                  </w:r>
                </w:p>
              </w:txbxContent>
            </v:textbox>
          </v:shape>
        </w:pict>
      </w:r>
      <w:r>
        <w:rPr>
          <w:rFonts w:hint="default" w:ascii="Times New Roman" w:hAnsi="Times New Roman" w:cs="Times New Roman"/>
          <w:sz w:val="24"/>
        </w:rPr>
        <w:pict>
          <v:rect id="_x0000_s4117" o:spid="_x0000_s4117" o:spt="1" style="position:absolute;left:0pt;margin-left:354.1pt;margin-top:206pt;height:39.7pt;width:56.2pt;z-index:251673600;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5266055</wp:posOffset>
            </wp:positionH>
            <wp:positionV relativeFrom="paragraph">
              <wp:posOffset>2593975</wp:posOffset>
            </wp:positionV>
            <wp:extent cx="600075" cy="533400"/>
            <wp:effectExtent l="0" t="0" r="9525" b="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600075" cy="533400"/>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3703955</wp:posOffset>
            </wp:positionH>
            <wp:positionV relativeFrom="paragraph">
              <wp:posOffset>2317750</wp:posOffset>
            </wp:positionV>
            <wp:extent cx="2162175" cy="295275"/>
            <wp:effectExtent l="0" t="0" r="9525" b="952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0"/>
                    <a:stretch>
                      <a:fillRect/>
                    </a:stretch>
                  </pic:blipFill>
                  <pic:spPr>
                    <a:xfrm>
                      <a:off x="0" y="0"/>
                      <a:ext cx="2162175" cy="295275"/>
                    </a:xfrm>
                    <a:prstGeom prst="rect">
                      <a:avLst/>
                    </a:prstGeom>
                    <a:noFill/>
                    <a:ln>
                      <a:noFill/>
                    </a:ln>
                  </pic:spPr>
                </pic:pic>
              </a:graphicData>
            </a:graphic>
          </wp:anchor>
        </w:drawing>
      </w:r>
      <w:r>
        <w:rPr>
          <w:rFonts w:hint="default" w:ascii="Times New Roman" w:hAnsi="Times New Roman" w:cs="Times New Roman"/>
          <w:sz w:val="24"/>
        </w:rPr>
        <w:pict>
          <v:shape id="_x0000_s4115" o:spid="_x0000_s4115" o:spt="202" type="#_x0000_t202" style="position:absolute;left:0pt;margin-left:234.85pt;margin-top:182.75pt;height:22.5pt;width:39pt;z-index:251672576;mso-width-relative:page;mso-height-relative:page;" fillcolor="#FFFFFF" filled="t" stroked="f" coordsize="21600,21600">
            <v:path/>
            <v:fill on="t" color2="#FFFFFF" opacity="0f" focussize="0,0"/>
            <v:stroke on="f"/>
            <v:imagedata o:title=""/>
            <o:lock v:ext="edit" aspectratio="f"/>
            <v:textbox>
              <w:txbxContent>
                <w:p>
                  <w:pPr>
                    <w:rPr>
                      <w:rFonts w:hint="default" w:eastAsia="宋体"/>
                      <w:lang w:val="en-US" w:eastAsia="zh-CN"/>
                    </w:rPr>
                  </w:pPr>
                  <w:r>
                    <w:rPr>
                      <w:rFonts w:hint="eastAsia"/>
                      <w:lang w:val="en-US" w:eastAsia="zh-CN"/>
                    </w:rPr>
                    <w:t>煮水</w:t>
                  </w:r>
                </w:p>
              </w:txbxContent>
            </v:textbox>
          </v:shape>
        </w:pict>
      </w:r>
      <w:r>
        <w:rPr>
          <w:rFonts w:hint="default" w:ascii="Times New Roman" w:hAnsi="Times New Roman" w:cs="Times New Roman"/>
          <w:sz w:val="24"/>
        </w:rPr>
        <w:pict>
          <v:rect id="_x0000_s4116" o:spid="_x0000_s4116" o:spt="1" style="position:absolute;left:0pt;margin-left:240.85pt;margin-top:188pt;height:11.25pt;width:24.75pt;z-index:251671552;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sz w:val="24"/>
        </w:rPr>
        <w:pict>
          <v:shape id="_x0000_s4114" o:spid="_x0000_s4114" o:spt="202" type="#_x0000_t202" style="position:absolute;left:0pt;margin-left:208.9pt;margin-top:11.6pt;height:22.5pt;width:50.2pt;z-index:251670528;mso-width-relative:page;mso-height-relative:page;" fillcolor="#FFFFFF" filled="t" stroked="f" coordsize="21600,21600">
            <v:path/>
            <v:fill on="t" color2="#FFFFFF" opacity="0f" focussize="0,0"/>
            <v:stroke on="f"/>
            <v:imagedata o:title=""/>
            <o:lock v:ext="edit" aspectratio="f"/>
            <v:textbox>
              <w:txbxContent>
                <w:p>
                  <w:pPr>
                    <w:rPr>
                      <w:rFonts w:hint="default" w:eastAsia="宋体"/>
                      <w:sz w:val="18"/>
                      <w:szCs w:val="20"/>
                      <w:lang w:val="en-US" w:eastAsia="zh-CN"/>
                    </w:rPr>
                  </w:pPr>
                  <w:r>
                    <w:rPr>
                      <w:rFonts w:hint="eastAsia"/>
                      <w:sz w:val="18"/>
                      <w:szCs w:val="20"/>
                      <w:lang w:val="en-US" w:eastAsia="zh-CN"/>
                    </w:rPr>
                    <w:t>颗粒物</w:t>
                  </w:r>
                </w:p>
              </w:txbxContent>
            </v:textbox>
          </v:shape>
        </w:pict>
      </w:r>
      <w:r>
        <w:rPr>
          <w:rFonts w:hint="default" w:ascii="Times New Roman" w:hAnsi="Times New Roman" w:cs="Times New Roman"/>
          <w:sz w:val="24"/>
        </w:rPr>
        <w:pict>
          <v:line id="_x0000_s4113" o:spid="_x0000_s4113" o:spt="20" style="position:absolute;left:0pt;flip:y;margin-left:223pt;margin-top:26.65pt;height:15.5pt;width:0.05pt;z-index:251669504;mso-width-relative:page;mso-height-relative:page;" filled="f" stroked="t" coordsize="21600,21600">
            <v:path arrowok="t"/>
            <v:fill on="f" focussize="0,0"/>
            <v:stroke color="#000000" dashstyle="dash" endarrow="open"/>
            <v:imagedata o:title=""/>
            <o:lock v:ext="edit" aspectratio="f"/>
          </v:line>
        </w:pict>
      </w:r>
      <w:r>
        <w:rPr>
          <w:rFonts w:hint="default" w:ascii="Times New Roman" w:hAnsi="Times New Roman" w:cs="Times New Roman"/>
          <w:sz w:val="24"/>
        </w:rPr>
        <w:pict>
          <v:shape id="_x0000_s4112" o:spid="_x0000_s4112" o:spt="202" type="#_x0000_t202" style="position:absolute;left:0pt;margin-left:322.6pt;margin-top:104.55pt;height:22.5pt;width:39pt;z-index:251668480;mso-width-relative:page;mso-height-relative:page;" fillcolor="#FFFFFF" filled="t" stroked="f" coordsize="21600,21600">
            <v:path/>
            <v:fill on="t" color2="#FFFFFF" opacity="0f" focussize="0,0"/>
            <v:stroke on="f"/>
            <v:imagedata o:title=""/>
            <o:lock v:ext="edit" aspectratio="f"/>
            <v:textbox>
              <w:txbxContent>
                <w:p>
                  <w:pPr>
                    <w:rPr>
                      <w:rFonts w:hint="default" w:eastAsia="宋体"/>
                      <w:sz w:val="18"/>
                      <w:szCs w:val="20"/>
                      <w:lang w:val="en-US" w:eastAsia="zh-CN"/>
                    </w:rPr>
                  </w:pPr>
                  <w:r>
                    <w:rPr>
                      <w:rFonts w:hint="eastAsia"/>
                      <w:sz w:val="18"/>
                      <w:szCs w:val="20"/>
                      <w:lang w:val="en-US" w:eastAsia="zh-CN"/>
                    </w:rPr>
                    <w:t>氨气</w:t>
                  </w:r>
                </w:p>
              </w:txbxContent>
            </v:textbox>
          </v:shape>
        </w:pict>
      </w:r>
      <w:r>
        <w:rPr>
          <w:rFonts w:hint="default" w:ascii="Times New Roman" w:hAnsi="Times New Roman" w:cs="Times New Roman"/>
          <w:sz w:val="24"/>
        </w:rPr>
        <w:pict>
          <v:line id="_x0000_s4111" o:spid="_x0000_s4111" o:spt="20" style="position:absolute;left:0pt;margin-left:310.7pt;margin-top:114.85pt;height:0.05pt;width:19pt;z-index:251664384;mso-width-relative:page;mso-height-relative:page;" fillcolor="#FFFFFF" filled="t" stroked="t" coordsize="21600,21600">
            <v:path arrowok="t"/>
            <v:fill on="t" color2="#FFFFFF" focussize="0,0"/>
            <v:stroke color="#000000" dashstyle="dash" endarrow="open"/>
            <v:imagedata o:title=""/>
            <o:lock v:ext="edit" aspectratio="f"/>
          </v:line>
        </w:pict>
      </w:r>
      <w:r>
        <w:rPr>
          <w:rFonts w:hint="default" w:ascii="Times New Roman" w:hAnsi="Times New Roman" w:cs="Times New Roman"/>
          <w:sz w:val="24"/>
        </w:rPr>
        <w:pict>
          <v:line id="_x0000_s4110" o:spid="_x0000_s4110" o:spt="20" style="position:absolute;left:0pt;margin-left:244.35pt;margin-top:88.9pt;height:0.05pt;width:47.3pt;z-index:251663360;mso-width-relative:page;mso-height-relative:page;" fillcolor="#FFFFFF" filled="t" stroked="t" coordsize="21600,21600">
            <v:path arrowok="t"/>
            <v:fill on="t" color2="#FFFFFF" focussize="0,0"/>
            <v:stroke color="#000000" endarrow="open"/>
            <v:imagedata o:title=""/>
            <o:lock v:ext="edit" aspectratio="f"/>
          </v:line>
        </w:pict>
      </w:r>
      <w:r>
        <w:rPr>
          <w:rFonts w:hint="default" w:ascii="Times New Roman" w:hAnsi="Times New Roman" w:cs="Times New Roman"/>
          <w:sz w:val="24"/>
        </w:rPr>
        <w:pict>
          <v:shape id="_x0000_s4108" o:spid="_x0000_s4108" o:spt="202" type="#_x0000_t202" style="position:absolute;left:0pt;margin-left:211.1pt;margin-top:79pt;height:22.5pt;width:39pt;z-index:251667456;mso-width-relative:page;mso-height-relative:page;" fillcolor="#FFFFFF" filled="t" stroked="f" coordsize="21600,21600">
            <v:path/>
            <v:fill on="t" color2="#FFFFFF" opacity="0f" focussize="0,0"/>
            <v:stroke on="f"/>
            <v:imagedata o:title=""/>
            <o:lock v:ext="edit" aspectratio="f"/>
            <v:textbox>
              <w:txbxContent>
                <w:p>
                  <w:pPr>
                    <w:rPr>
                      <w:rFonts w:hint="default" w:eastAsia="宋体"/>
                      <w:lang w:val="en-US" w:eastAsia="zh-CN"/>
                    </w:rPr>
                  </w:pPr>
                  <w:r>
                    <w:rPr>
                      <w:rFonts w:hint="eastAsia"/>
                      <w:lang w:val="en-US" w:eastAsia="zh-CN"/>
                    </w:rPr>
                    <w:t>鄂破</w:t>
                  </w:r>
                </w:p>
              </w:txbxContent>
            </v:textbox>
          </v:shape>
        </w:pict>
      </w:r>
      <w:r>
        <w:rPr>
          <w:rFonts w:hint="default" w:ascii="Times New Roman" w:hAnsi="Times New Roman" w:cs="Times New Roman"/>
          <w:sz w:val="24"/>
        </w:rPr>
        <w:pict>
          <v:rect id="_x0000_s4109" o:spid="_x0000_s4109" o:spt="1" style="position:absolute;left:0pt;margin-left:214.95pt;margin-top:82.6pt;height:14.4pt;width:29.4pt;z-index:251662336;mso-width-relative:page;mso-height-relative:page;" fillcolor="#FFFFFF" filled="t" stroked="t" coordsize="21600,21600">
            <v:path/>
            <v:fill on="t" color2="#FFFFFF" focussize="0,0"/>
            <v:stroke color="#000000"/>
            <v:imagedata o:title=""/>
            <o:lock v:ext="edit" aspectratio="f"/>
          </v:rect>
        </w:pict>
      </w:r>
      <w:r>
        <w:rPr>
          <w:rFonts w:hint="default" w:ascii="Times New Roman" w:hAnsi="Times New Roman" w:cs="Times New Roman"/>
          <w:sz w:val="24"/>
        </w:rPr>
        <w:pict>
          <v:line id="_x0000_s4107" o:spid="_x0000_s4107" o:spt="20" style="position:absolute;left:0pt;flip:x y;margin-left:228.2pt;margin-top:95.25pt;height:10.35pt;width:0.55pt;z-index:251662336;mso-width-relative:page;mso-height-relative:page;" fillcolor="#FFFFFF" filled="t" stroked="t" coordsize="21600,21600">
            <v:path arrowok="t"/>
            <v:fill on="t" color2="#FFFFFF" focussize="0,0"/>
            <v:stroke color="#000000" endarrow="open"/>
            <v:imagedata o:title=""/>
            <o:lock v:ext="edit" aspectratio="f"/>
          </v:line>
        </w:pict>
      </w:r>
      <w:r>
        <w:rPr>
          <w:rFonts w:hint="default" w:ascii="Times New Roman" w:hAnsi="Times New Roman" w:cs="Times New Roman"/>
          <w:sz w:val="24"/>
        </w:rPr>
        <w:pict>
          <v:rect id="_x0000_s4101" o:spid="_x0000_s4101" o:spt="1" style="position:absolute;left:0pt;margin-left:95.55pt;margin-top:159.5pt;height:9.75pt;width:34.5pt;z-index:251662336;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sz w:val="24"/>
        </w:rPr>
        <w:pict>
          <v:shape id="_x0000_s4103" o:spid="_x0000_s4103" o:spt="202" type="#_x0000_t202" style="position:absolute;left:0pt;margin-left:93.1pt;margin-top:142.25pt;height:22.5pt;width:74.25pt;z-index:251665408;mso-width-relative:page;mso-height-relative:page;" fillcolor="#FFFFFF" filled="t" stroked="f" coordsize="21600,21600">
            <v:path/>
            <v:fill on="t" color2="#FFFFFF" opacity="0f" focussize="0,0"/>
            <v:stroke on="f"/>
            <v:imagedata o:title=""/>
            <o:lock v:ext="edit" aspectratio="f"/>
            <v:textbox>
              <w:txbxContent>
                <w:p>
                  <w:pPr>
                    <w:rPr>
                      <w:rFonts w:hint="default" w:eastAsia="宋体"/>
                      <w:sz w:val="18"/>
                      <w:szCs w:val="20"/>
                      <w:lang w:val="en-US" w:eastAsia="zh-CN"/>
                    </w:rPr>
                  </w:pPr>
                  <w:r>
                    <w:rPr>
                      <w:rFonts w:hint="eastAsia"/>
                      <w:sz w:val="18"/>
                      <w:szCs w:val="20"/>
                      <w:lang w:eastAsia="zh-CN"/>
                    </w:rPr>
                    <w:t>六方氮化硼</w:t>
                  </w:r>
                  <w:r>
                    <w:rPr>
                      <w:rFonts w:hint="eastAsia"/>
                      <w:sz w:val="18"/>
                      <w:szCs w:val="20"/>
                      <w:lang w:val="en-US" w:eastAsia="zh-CN"/>
                    </w:rPr>
                    <w:t>+水</w:t>
                  </w:r>
                </w:p>
              </w:txbxContent>
            </v:textbox>
          </v:shape>
        </w:pict>
      </w:r>
      <w:r>
        <w:rPr>
          <w:rFonts w:hint="default" w:ascii="Times New Roman" w:hAnsi="Times New Roman" w:cs="Times New Roman"/>
          <w:sz w:val="24"/>
        </w:rPr>
        <w:pict>
          <v:rect id="_x0000_s4102" o:spid="_x0000_s4102" o:spt="1" style="position:absolute;left:0pt;margin-left:81.35pt;margin-top:165.5pt;height:18.75pt;width:6pt;z-index:251664384;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636905</wp:posOffset>
            </wp:positionH>
            <wp:positionV relativeFrom="paragraph">
              <wp:posOffset>2362835</wp:posOffset>
            </wp:positionV>
            <wp:extent cx="457200" cy="190500"/>
            <wp:effectExtent l="0" t="0" r="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457200" cy="190500"/>
                    </a:xfrm>
                    <a:prstGeom prst="rect">
                      <a:avLst/>
                    </a:prstGeom>
                    <a:noFill/>
                    <a:ln>
                      <a:noFill/>
                    </a:ln>
                  </pic:spPr>
                </pic:pic>
              </a:graphicData>
            </a:graphic>
          </wp:anchor>
        </w:drawing>
      </w:r>
      <w:r>
        <w:rPr>
          <w:rFonts w:hint="default" w:ascii="Times New Roman" w:hAnsi="Times New Roman" w:cs="Times New Roman"/>
          <w:sz w:val="24"/>
        </w:rPr>
        <w:pict>
          <v:shape id="_x0000_s4099" o:spid="_x0000_s4099" o:spt="202" type="#_x0000_t202" style="position:absolute;left:0pt;margin-left:51.85pt;margin-top:144.5pt;height:22.5pt;width:39pt;z-index:251663360;mso-width-relative:page;mso-height-relative:page;" fillcolor="#FFFFFF" filled="t" stroked="f" coordsize="21600,21600">
            <v:path/>
            <v:fill on="t" color2="#FFFFFF" opacity="0f" focussize="0,0"/>
            <v:stroke on="f"/>
            <v:imagedata o:title=""/>
            <o:lock v:ext="edit" aspectratio="f"/>
            <v:textbox>
              <w:txbxContent>
                <w:p>
                  <w:pPr>
                    <w:rPr>
                      <w:rFonts w:hint="eastAsia" w:eastAsia="宋体"/>
                      <w:lang w:eastAsia="zh-CN"/>
                    </w:rPr>
                  </w:pPr>
                  <w:r>
                    <w:rPr>
                      <w:rFonts w:hint="eastAsia"/>
                      <w:lang w:eastAsia="zh-CN"/>
                    </w:rPr>
                    <w:t>摇床</w:t>
                  </w:r>
                </w:p>
              </w:txbxContent>
            </v:textbox>
          </v:shape>
        </w:pict>
      </w:r>
      <w:r>
        <w:rPr>
          <w:rFonts w:hint="default" w:ascii="Times New Roman" w:hAnsi="Times New Roman" w:cs="Times New Roman"/>
          <w:sz w:val="24"/>
        </w:rPr>
        <w:pict>
          <v:rect id="_x0000_s4100" o:spid="_x0000_s4100" o:spt="1" style="position:absolute;left:0pt;margin-left:52.05pt;margin-top:150.5pt;height:10.5pt;width:27.75pt;z-index:251660288;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600075</wp:posOffset>
            </wp:positionH>
            <wp:positionV relativeFrom="paragraph">
              <wp:posOffset>1589405</wp:posOffset>
            </wp:positionV>
            <wp:extent cx="581025" cy="533400"/>
            <wp:effectExtent l="0" t="0" r="9525"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581025" cy="533400"/>
                    </a:xfrm>
                    <a:prstGeom prst="rect">
                      <a:avLst/>
                    </a:prstGeom>
                    <a:noFill/>
                    <a:ln>
                      <a:noFill/>
                    </a:ln>
                  </pic:spPr>
                </pic:pic>
              </a:graphicData>
            </a:graphic>
          </wp:anchor>
        </w:drawing>
      </w:r>
      <w:r>
        <w:rPr>
          <w:rFonts w:hint="default" w:ascii="Times New Roman" w:hAnsi="Times New Roman" w:cs="Times New Roman"/>
          <w:sz w:val="24"/>
        </w:rPr>
        <w:pict>
          <v:rect id="_x0000_s4097" o:spid="_x0000_s4097" o:spt="1" style="position:absolute;left:0pt;margin-left:54.1pt;margin-top:108.5pt;height:11.25pt;width:24.75pt;z-index:251659264;mso-width-relative:page;mso-height-relative:page;" fillcolor="#FFFFFF" filled="t" stroked="f" coordsize="21600,21600">
            <v:path/>
            <v:fill on="t" color2="#FFFFFF" focussize="0,0"/>
            <v:stroke on="f"/>
            <v:imagedata o:title=""/>
            <o:lock v:ext="edit" aspectratio="f"/>
          </v:rect>
        </w:pict>
      </w:r>
      <w:r>
        <w:rPr>
          <w:rFonts w:hint="default" w:ascii="Times New Roman" w:hAnsi="Times New Roman" w:cs="Times New Roman"/>
          <w:sz w:val="24"/>
        </w:rPr>
        <w:object>
          <v:shape id="_x0000_i1027" o:spt="75" type="#_x0000_t75" style="height:244.75pt;width:423.5pt;" o:ole="t" filled="f" o:preferrelative="t" stroked="f" coordsize="21600,21600">
            <v:path/>
            <v:fill on="f" focussize="0,0"/>
            <v:stroke on="f"/>
            <v:imagedata r:id="rId8" o:title=""/>
            <o:lock v:ext="edit" aspectratio="t"/>
            <w10:wrap type="none"/>
            <w10:anchorlock/>
          </v:shape>
          <o:OLEObject Type="Embed" ProgID="Visio.Drawing.11" ShapeID="_x0000_i1027" DrawAspect="Content" ObjectID="_1468075727" r:id="rId13">
            <o:LockedField>false</o:LockedField>
          </o:OLEObject>
        </w:object>
      </w:r>
    </w:p>
    <w:p>
      <w:pPr>
        <w:pStyle w:val="2"/>
        <w:jc w:val="center"/>
        <w:rPr>
          <w:rFonts w:hint="default" w:ascii="Times New Roman" w:hAnsi="Times New Roman" w:eastAsia="黑体" w:cs="Times New Roman"/>
          <w:bCs/>
          <w:color w:val="auto"/>
          <w:kern w:val="2"/>
          <w:szCs w:val="21"/>
        </w:rPr>
      </w:pPr>
    </w:p>
    <w:p>
      <w:pPr>
        <w:widowControl/>
        <w:spacing w:line="360" w:lineRule="auto"/>
        <w:ind w:firstLine="480" w:firstLineChars="200"/>
        <w:jc w:val="center"/>
        <w:rPr>
          <w:rFonts w:hint="default" w:ascii="Times New Roman" w:hAnsi="Times New Roman" w:eastAsia="黑体" w:cs="Times New Roman"/>
          <w:bCs/>
          <w:sz w:val="24"/>
          <w:szCs w:val="21"/>
        </w:rPr>
      </w:pPr>
      <w:r>
        <w:rPr>
          <w:rFonts w:hint="default" w:ascii="Times New Roman" w:hAnsi="Times New Roman" w:eastAsia="黑体" w:cs="Times New Roman"/>
          <w:bCs/>
          <w:sz w:val="24"/>
          <w:szCs w:val="21"/>
        </w:rPr>
        <w:t>图</w:t>
      </w:r>
      <w:r>
        <w:rPr>
          <w:rFonts w:hint="default" w:ascii="Times New Roman" w:hAnsi="Times New Roman" w:eastAsia="黑体" w:cs="Times New Roman"/>
          <w:bCs/>
          <w:sz w:val="24"/>
          <w:szCs w:val="21"/>
          <w:lang w:val="en-US" w:eastAsia="zh-CN"/>
        </w:rPr>
        <w:t>3</w:t>
      </w:r>
      <w:r>
        <w:rPr>
          <w:rFonts w:hint="default" w:ascii="Times New Roman" w:hAnsi="Times New Roman" w:eastAsia="黑体" w:cs="Times New Roman"/>
          <w:bCs/>
          <w:sz w:val="24"/>
          <w:szCs w:val="21"/>
        </w:rPr>
        <w:t xml:space="preserve">   项目</w:t>
      </w:r>
      <w:r>
        <w:rPr>
          <w:rFonts w:hint="default" w:ascii="Times New Roman" w:hAnsi="Times New Roman" w:eastAsia="黑体" w:cs="Times New Roman"/>
          <w:bCs/>
          <w:sz w:val="24"/>
          <w:szCs w:val="21"/>
          <w:lang w:eastAsia="zh-CN"/>
        </w:rPr>
        <w:t>实际</w:t>
      </w:r>
      <w:r>
        <w:rPr>
          <w:rFonts w:hint="default" w:ascii="Times New Roman" w:hAnsi="Times New Roman" w:eastAsia="黑体" w:cs="Times New Roman"/>
          <w:bCs/>
          <w:sz w:val="24"/>
          <w:szCs w:val="21"/>
        </w:rPr>
        <w:t>生产工艺流程及产污环节示意图</w:t>
      </w:r>
    </w:p>
    <w:p>
      <w:pPr>
        <w:spacing w:line="520" w:lineRule="exact"/>
        <w:rPr>
          <w:rFonts w:hint="default" w:ascii="Times New Roman" w:hAnsi="Times New Roman" w:cs="Times New Roman"/>
          <w:b/>
          <w:sz w:val="24"/>
        </w:rPr>
      </w:pPr>
      <w:r>
        <w:rPr>
          <w:rFonts w:hint="default" w:ascii="Times New Roman" w:hAnsi="Times New Roman" w:cs="Times New Roman"/>
          <w:b/>
          <w:sz w:val="24"/>
        </w:rPr>
        <w:t>工艺流程说明：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kern w:val="0"/>
          <w:sz w:val="24"/>
          <w:lang w:eastAsia="zh-CN"/>
        </w:rPr>
        <w:t>触媒：</w:t>
      </w:r>
      <w:r>
        <w:rPr>
          <w:rFonts w:hint="default" w:ascii="Times New Roman" w:hAnsi="Times New Roman" w:cs="Times New Roman"/>
          <w:sz w:val="24"/>
        </w:rPr>
        <w:t>金属板材在电加热高温炉中，在氮气环境下，加热到一定温度后形成金属氮化物。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混合：</w:t>
      </w:r>
      <w:r>
        <w:rPr>
          <w:rFonts w:hint="default" w:ascii="Times New Roman" w:hAnsi="Times New Roman" w:cs="Times New Roman"/>
          <w:sz w:val="24"/>
        </w:rPr>
        <w:t>将触媒和六方氮化硼按比例投入混料机中，充分混合均匀。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压棒：</w:t>
      </w:r>
      <w:r>
        <w:rPr>
          <w:rFonts w:hint="default" w:ascii="Times New Roman" w:hAnsi="Times New Roman" w:cs="Times New Roman"/>
          <w:sz w:val="24"/>
        </w:rPr>
        <w:t>混合均匀的料经过自动粉末压机压制成固定重量和尺寸的圆柱体，并和碳管、白云石片组装在一起，包装起来。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组装合成</w:t>
      </w:r>
      <w:r>
        <w:rPr>
          <w:rFonts w:hint="default" w:ascii="Times New Roman" w:hAnsi="Times New Roman" w:cs="Times New Roman"/>
          <w:sz w:val="24"/>
        </w:rPr>
        <w:t>：将合成棒和叶蜡石、导电钢圈等进行合理组装后，在高温超高压下进行合成，六方氮化硼转变成立方氮化硼。本次改建项目改进合成块组装方式，简化腔体内组件，腔体内温度上升更快，温度场更均匀。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浸泡：</w:t>
      </w:r>
      <w:r>
        <w:rPr>
          <w:rFonts w:hint="default" w:ascii="Times New Roman" w:hAnsi="Times New Roman" w:cs="Times New Roman"/>
          <w:sz w:val="24"/>
        </w:rPr>
        <w:t>合成后的棒料投入水中进行浸泡，未反应的触媒和水反应，棒料会逐渐变小，变成松散的粉料。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b/>
          <w:bCs/>
          <w:sz w:val="24"/>
          <w:lang w:eastAsia="zh-CN"/>
        </w:rPr>
        <w:t>摇床：</w:t>
      </w:r>
      <w:r>
        <w:rPr>
          <w:rFonts w:hint="default" w:ascii="Times New Roman" w:hAnsi="Times New Roman" w:cs="Times New Roman"/>
          <w:sz w:val="24"/>
        </w:rPr>
        <w:t>泡散的物料，经过摇床分离，将六方氮化硼和立方氮化硼分离开来。</w:t>
      </w:r>
      <w:r>
        <w:rPr>
          <w:rFonts w:hint="default" w:ascii="Times New Roman" w:hAnsi="Times New Roman" w:cs="Times New Roman"/>
          <w:sz w:val="24"/>
          <w:lang w:val="en-US" w:eastAsia="zh-CN"/>
        </w:rPr>
        <w:t>同时将较大粒径物料使用颚式破碎机进行破碎后再次返回浸泡工序浸泡。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烘干</w:t>
      </w:r>
      <w:r>
        <w:rPr>
          <w:rFonts w:hint="default" w:ascii="Times New Roman" w:hAnsi="Times New Roman" w:cs="Times New Roman"/>
          <w:b/>
          <w:bCs/>
          <w:sz w:val="24"/>
          <w:lang w:eastAsia="zh-CN"/>
        </w:rPr>
        <w:t>：</w:t>
      </w:r>
      <w:r>
        <w:rPr>
          <w:rFonts w:hint="default" w:ascii="Times New Roman" w:hAnsi="Times New Roman" w:cs="Times New Roman"/>
          <w:sz w:val="24"/>
        </w:rPr>
        <w:t>将物料投入低温干燥箱中烘干。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球墨：</w:t>
      </w:r>
      <w:r>
        <w:rPr>
          <w:rFonts w:hint="default" w:ascii="Times New Roman" w:hAnsi="Times New Roman" w:cs="Times New Roman"/>
          <w:sz w:val="24"/>
        </w:rPr>
        <w:t>将烘干物料投入密闭球磨机集中球磨整形，去除连晶，该过程采取密封方式没有粉尘产生（开盖时启动负压设施减少粉尘外溢）。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sz w:val="24"/>
          <w:highlight w:val="yellow"/>
          <w:lang w:eastAsia="zh-CN"/>
        </w:rPr>
      </w:pPr>
      <w:r>
        <w:rPr>
          <w:rFonts w:hint="default" w:ascii="Times New Roman" w:hAnsi="Times New Roman" w:cs="Times New Roman"/>
          <w:b/>
          <w:bCs/>
          <w:sz w:val="24"/>
          <w:lang w:eastAsia="zh-CN"/>
        </w:rPr>
        <w:t>泡酸：</w:t>
      </w:r>
      <w:r>
        <w:rPr>
          <w:rFonts w:hint="default" w:ascii="Times New Roman" w:hAnsi="Times New Roman" w:cs="Times New Roman"/>
          <w:sz w:val="24"/>
        </w:rPr>
        <w:t>将球磨后物料放入</w:t>
      </w:r>
      <w:r>
        <w:rPr>
          <w:rFonts w:hint="default" w:ascii="Times New Roman" w:hAnsi="Times New Roman" w:cs="Times New Roman"/>
          <w:sz w:val="24"/>
          <w:lang w:eastAsia="zh-CN"/>
        </w:rPr>
        <w:t>浓硫酸</w:t>
      </w:r>
      <w:r>
        <w:rPr>
          <w:rFonts w:hint="default" w:ascii="Times New Roman" w:hAnsi="Times New Roman" w:cs="Times New Roman"/>
          <w:sz w:val="24"/>
        </w:rPr>
        <w:t>和浓硝酸中</w:t>
      </w:r>
      <w:r>
        <w:rPr>
          <w:rFonts w:hint="default" w:ascii="Times New Roman" w:hAnsi="Times New Roman" w:cs="Times New Roman"/>
          <w:sz w:val="24"/>
          <w:lang w:eastAsia="zh-CN"/>
        </w:rPr>
        <w:t>浸泡</w:t>
      </w:r>
      <w:r>
        <w:rPr>
          <w:rFonts w:hint="default" w:ascii="Times New Roman" w:hAnsi="Times New Roman" w:cs="Times New Roman"/>
          <w:sz w:val="24"/>
        </w:rPr>
        <w:t>，</w:t>
      </w:r>
      <w:r>
        <w:rPr>
          <w:rFonts w:hint="default" w:ascii="Times New Roman" w:hAnsi="Times New Roman" w:cs="Times New Roman"/>
          <w:sz w:val="24"/>
          <w:lang w:eastAsia="zh-CN"/>
        </w:rPr>
        <w:t>去除物料中的杂质</w:t>
      </w:r>
      <w:r>
        <w:rPr>
          <w:rFonts w:hint="default" w:ascii="Times New Roman" w:hAnsi="Times New Roman" w:cs="Times New Roman"/>
          <w:sz w:val="24"/>
        </w:rPr>
        <w:t>成分</w:t>
      </w:r>
      <w:r>
        <w:rPr>
          <w:rFonts w:hint="default" w:ascii="Times New Roman" w:hAnsi="Times New Roman"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摇床：</w:t>
      </w:r>
      <w:r>
        <w:rPr>
          <w:rFonts w:hint="default" w:ascii="Times New Roman" w:hAnsi="Times New Roman" w:cs="Times New Roman"/>
          <w:sz w:val="24"/>
        </w:rPr>
        <w:t>泡</w:t>
      </w:r>
      <w:r>
        <w:rPr>
          <w:rFonts w:hint="default" w:ascii="Times New Roman" w:hAnsi="Times New Roman" w:cs="Times New Roman"/>
          <w:sz w:val="24"/>
          <w:lang w:eastAsia="zh-CN"/>
        </w:rPr>
        <w:t>酸后</w:t>
      </w:r>
      <w:r>
        <w:rPr>
          <w:rFonts w:hint="default" w:ascii="Times New Roman" w:hAnsi="Times New Roman" w:cs="Times New Roman"/>
          <w:sz w:val="24"/>
        </w:rPr>
        <w:t>的物料，经过摇床分离，将六方氮化硼和立方氮化硼分离开来。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烘干：</w:t>
      </w:r>
      <w:r>
        <w:rPr>
          <w:rFonts w:hint="default" w:ascii="Times New Roman" w:hAnsi="Times New Roman" w:cs="Times New Roman"/>
          <w:sz w:val="24"/>
        </w:rPr>
        <w:t>将物料投入低温干燥箱中烘干。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煮酸：</w:t>
      </w:r>
      <w:r>
        <w:rPr>
          <w:rFonts w:hint="default" w:ascii="Times New Roman" w:hAnsi="Times New Roman" w:cs="Times New Roman"/>
          <w:sz w:val="24"/>
        </w:rPr>
        <w:t>将洗致中性的物料投入自动洗酸机中，用浓硫酸和浓硝酸（比例3：1）去除物料中的石墨、叶蜡石等。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洗酸：</w:t>
      </w:r>
      <w:r>
        <w:rPr>
          <w:rFonts w:hint="default" w:ascii="Times New Roman" w:hAnsi="Times New Roman" w:cs="Times New Roman"/>
          <w:sz w:val="24"/>
        </w:rPr>
        <w:t>将物料洗</w:t>
      </w:r>
      <w:r>
        <w:rPr>
          <w:rFonts w:hint="default" w:ascii="Times New Roman" w:hAnsi="Times New Roman" w:cs="Times New Roman"/>
          <w:sz w:val="24"/>
          <w:lang w:val="en-US" w:eastAsia="zh-CN"/>
        </w:rPr>
        <w:t>至</w:t>
      </w:r>
      <w:r>
        <w:rPr>
          <w:rFonts w:hint="default" w:ascii="Times New Roman" w:hAnsi="Times New Roman" w:cs="Times New Roman"/>
          <w:sz w:val="24"/>
        </w:rPr>
        <w:t>中性。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val="en-US" w:eastAsia="zh-CN"/>
        </w:rPr>
        <w:t>煮水</w:t>
      </w:r>
      <w:r>
        <w:rPr>
          <w:rFonts w:hint="default" w:ascii="Times New Roman" w:hAnsi="Times New Roman" w:cs="Times New Roman"/>
          <w:b/>
          <w:bCs/>
          <w:sz w:val="24"/>
          <w:lang w:eastAsia="zh-CN"/>
        </w:rPr>
        <w:t>：</w:t>
      </w:r>
      <w:r>
        <w:rPr>
          <w:rFonts w:hint="default" w:ascii="Times New Roman" w:hAnsi="Times New Roman" w:cs="Times New Roman"/>
          <w:sz w:val="24"/>
        </w:rPr>
        <w:t>将</w:t>
      </w:r>
      <w:r>
        <w:rPr>
          <w:rFonts w:hint="default" w:ascii="Times New Roman" w:hAnsi="Times New Roman" w:cs="Times New Roman"/>
          <w:sz w:val="24"/>
          <w:lang w:val="en-US" w:eastAsia="zh-CN"/>
        </w:rPr>
        <w:t>洗酸后的物料使用纯水再次加热清洗，纯水洗后的物料更纯净</w:t>
      </w:r>
      <w:r>
        <w:rPr>
          <w:rFonts w:hint="default" w:ascii="Times New Roman" w:hAnsi="Times New Roman" w:cs="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烘干：</w:t>
      </w:r>
      <w:r>
        <w:rPr>
          <w:rFonts w:hint="default" w:ascii="Times New Roman" w:hAnsi="Times New Roman" w:cs="Times New Roman"/>
          <w:sz w:val="24"/>
        </w:rPr>
        <w:t>将物料放入电烘箱中烘干。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CN"/>
        </w:rPr>
        <w:t>筛分：</w:t>
      </w:r>
      <w:r>
        <w:rPr>
          <w:rFonts w:hint="default" w:ascii="Times New Roman" w:hAnsi="Times New Roman" w:cs="Times New Roman"/>
          <w:sz w:val="24"/>
        </w:rPr>
        <w:t>洗干净的立方氮化硼单晶（不同粒径晶体，表面无粉尘），在旋振筛上筛分（粒径分级），得到一定粒度的产品。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rPr>
      </w:pPr>
      <w:r>
        <w:rPr>
          <w:rFonts w:hint="default" w:ascii="Times New Roman" w:hAnsi="Times New Roman" w:cs="Times New Roman"/>
          <w:b/>
          <w:bCs/>
          <w:sz w:val="24"/>
          <w:lang w:eastAsia="zh-CN"/>
        </w:rPr>
        <w:t>选型：</w:t>
      </w:r>
      <w:r>
        <w:rPr>
          <w:rFonts w:hint="default" w:ascii="Times New Roman" w:hAnsi="Times New Roman" w:cs="Times New Roman"/>
          <w:sz w:val="24"/>
        </w:rPr>
        <w:t>筛分后的物料，在选型机上进行选型，分选出等积型物料。</w:t>
      </w:r>
    </w:p>
    <w:p>
      <w:pPr>
        <w:pStyle w:val="156"/>
        <w:overflowPunct w:val="0"/>
        <w:autoSpaceDE w:val="0"/>
        <w:autoSpaceDN w:val="0"/>
        <w:spacing w:line="540" w:lineRule="exact"/>
        <w:ind w:firstLine="0" w:firstLineChars="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3.8现有工程存在问题整改落实情况</w:t>
      </w:r>
    </w:p>
    <w:p>
      <w:pPr>
        <w:spacing w:line="520" w:lineRule="exact"/>
        <w:ind w:firstLine="482"/>
        <w:rPr>
          <w:rFonts w:hint="default" w:ascii="Times New Roman" w:hAnsi="Times New Roman" w:cs="Times New Roman"/>
          <w:sz w:val="24"/>
          <w:lang w:val="en-US" w:eastAsia="zh-CN"/>
        </w:rPr>
      </w:pPr>
      <w:r>
        <w:rPr>
          <w:rFonts w:hint="default" w:ascii="Times New Roman" w:hAnsi="Times New Roman" w:cs="Times New Roman"/>
          <w:sz w:val="24"/>
        </w:rPr>
        <w:t>现有工程存在问题整改落实情况详见表</w:t>
      </w:r>
      <w:r>
        <w:rPr>
          <w:rFonts w:hint="default" w:ascii="Times New Roman" w:hAnsi="Times New Roman" w:cs="Times New Roman"/>
          <w:sz w:val="24"/>
          <w:lang w:val="en-US" w:eastAsia="zh-CN"/>
        </w:rPr>
        <w:t>3.8-1。</w:t>
      </w:r>
    </w:p>
    <w:p>
      <w:pPr>
        <w:pStyle w:val="2"/>
        <w:spacing w:line="520" w:lineRule="exact"/>
        <w:jc w:val="center"/>
        <w:rPr>
          <w:rFonts w:hint="default" w:ascii="Times New Roman" w:hAnsi="Times New Roman" w:cs="Times New Roman"/>
          <w:sz w:val="21"/>
          <w:szCs w:val="21"/>
        </w:rPr>
      </w:pPr>
      <w:r>
        <w:rPr>
          <w:rFonts w:hint="default" w:ascii="Times New Roman" w:hAnsi="Times New Roman" w:eastAsia="黑体" w:cs="Times New Roman"/>
        </w:rPr>
        <w:t>表3.8-1  现有工程存在问题及整改措施一览表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681"/>
        <w:gridCol w:w="329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序号</w:t>
            </w:r>
          </w:p>
        </w:tc>
        <w:tc>
          <w:tcPr>
            <w:tcW w:w="2159"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现有工程存在问题</w:t>
            </w:r>
          </w:p>
        </w:tc>
        <w:tc>
          <w:tcPr>
            <w:tcW w:w="1930"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rPr>
              <w:t>整改措施</w:t>
            </w:r>
            <w:r>
              <w:rPr>
                <w:rFonts w:hint="default" w:ascii="Times New Roman" w:hAnsi="Times New Roman" w:eastAsia="宋体" w:cs="Times New Roman"/>
                <w:color w:val="auto"/>
                <w:sz w:val="21"/>
                <w:szCs w:val="21"/>
              </w:rPr>
              <w:t>落实情况</w:t>
            </w:r>
          </w:p>
        </w:tc>
        <w:tc>
          <w:tcPr>
            <w:tcW w:w="515"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1</w:t>
            </w:r>
          </w:p>
        </w:tc>
        <w:tc>
          <w:tcPr>
            <w:tcW w:w="21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SA"/>
              </w:rPr>
              <w:t>企业未执行定期污染物排放监测工作。</w:t>
            </w:r>
          </w:p>
        </w:tc>
        <w:tc>
          <w:tcPr>
            <w:tcW w:w="1930"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根据自行监测指南，开展例行监测</w:t>
            </w:r>
          </w:p>
        </w:tc>
        <w:tc>
          <w:tcPr>
            <w:tcW w:w="515"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2</w:t>
            </w:r>
          </w:p>
        </w:tc>
        <w:tc>
          <w:tcPr>
            <w:tcW w:w="2159"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SA"/>
              </w:rPr>
              <w:t>项目生产场地已经采取硬化措施，生产区未采取防渗漏措施防治土壤污染。</w:t>
            </w:r>
          </w:p>
        </w:tc>
        <w:tc>
          <w:tcPr>
            <w:tcW w:w="1930"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生产车间进行防渗处理</w:t>
            </w:r>
          </w:p>
        </w:tc>
        <w:tc>
          <w:tcPr>
            <w:tcW w:w="515" w:type="pct"/>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已落实</w:t>
            </w:r>
          </w:p>
        </w:tc>
      </w:tr>
    </w:tbl>
    <w:p>
      <w:pPr>
        <w:pStyle w:val="156"/>
        <w:overflowPunct w:val="0"/>
        <w:autoSpaceDE w:val="0"/>
        <w:autoSpaceDN w:val="0"/>
        <w:spacing w:line="540" w:lineRule="exact"/>
        <w:ind w:firstLine="0" w:firstLineChars="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3.9项目变动情况</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3.9.1原辅材料变化情况</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项目原辅材料变动情况见表3.9-1。</w:t>
      </w:r>
    </w:p>
    <w:p>
      <w:pPr>
        <w:pStyle w:val="2"/>
        <w:spacing w:line="520" w:lineRule="exact"/>
        <w:jc w:val="center"/>
        <w:rPr>
          <w:rFonts w:hint="default" w:ascii="Times New Roman" w:hAnsi="Times New Roman" w:eastAsia="黑体" w:cs="Times New Roman"/>
        </w:rPr>
      </w:pPr>
      <w:r>
        <w:rPr>
          <w:rFonts w:hint="default" w:ascii="Times New Roman" w:hAnsi="Times New Roman" w:eastAsia="黑体" w:cs="Times New Roman"/>
        </w:rPr>
        <w:t>表3.9-1  项目原辅材料变动情况一览表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1"/>
        <w:gridCol w:w="1166"/>
        <w:gridCol w:w="1244"/>
        <w:gridCol w:w="3958"/>
        <w:gridCol w:w="10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原辅料名称</w:t>
            </w:r>
          </w:p>
        </w:tc>
        <w:tc>
          <w:tcPr>
            <w:tcW w:w="684" w:type="pct"/>
            <w:tcBorders>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环评及批复内容</w:t>
            </w:r>
          </w:p>
        </w:tc>
        <w:tc>
          <w:tcPr>
            <w:tcW w:w="730" w:type="pct"/>
            <w:tcBorders>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实际建设情况</w:t>
            </w:r>
          </w:p>
        </w:tc>
        <w:tc>
          <w:tcPr>
            <w:tcW w:w="2322"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变动原因</w:t>
            </w: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是否属于重大变动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tabs>
                <w:tab w:val="left" w:pos="3430"/>
              </w:tabs>
              <w:adjustRightInd w:val="0"/>
              <w:snapToGrid w:val="0"/>
              <w:spacing w:line="360" w:lineRule="exact"/>
              <w:jc w:val="center"/>
              <w:rPr>
                <w:rFonts w:hint="default" w:ascii="Times New Roman" w:hAnsi="Times New Roman" w:eastAsia="宋体" w:cs="Times New Roman"/>
                <w:spacing w:val="8"/>
                <w:kern w:val="2"/>
                <w:sz w:val="21"/>
                <w:szCs w:val="21"/>
                <w:lang w:val="en-US" w:eastAsia="zh-CN" w:bidi="ar-SA"/>
              </w:rPr>
            </w:pPr>
            <w:r>
              <w:rPr>
                <w:rFonts w:hint="default" w:ascii="Times New Roman" w:hAnsi="Times New Roman" w:eastAsia="宋体" w:cs="Times New Roman"/>
                <w:bCs/>
                <w:sz w:val="21"/>
                <w:szCs w:val="21"/>
              </w:rPr>
              <w:t>六方氮化硼HBN</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19.2</w:t>
            </w:r>
            <w:r>
              <w:rPr>
                <w:rFonts w:hint="default" w:ascii="Times New Roman" w:hAnsi="Times New Roman" w:cs="Times New Roman"/>
                <w:szCs w:val="21"/>
              </w:rPr>
              <w:t>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13.44</w:t>
            </w:r>
            <w:r>
              <w:rPr>
                <w:rFonts w:hint="default" w:ascii="Times New Roman" w:hAnsi="Times New Roman" w:cs="Times New Roman"/>
                <w:szCs w:val="21"/>
              </w:rPr>
              <w:t>t/a</w:t>
            </w:r>
          </w:p>
        </w:tc>
        <w:tc>
          <w:tcPr>
            <w:tcW w:w="2322" w:type="pct"/>
            <w:vMerge w:val="restar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不一致，产能减少，产能由5000万克拉减少为3500克拉，因此原辅料用量减少。</w:t>
            </w: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sz w:val="21"/>
                <w:szCs w:val="21"/>
              </w:rPr>
              <w:t>触媒</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4.2</w:t>
            </w:r>
            <w:r>
              <w:rPr>
                <w:rFonts w:hint="default" w:ascii="Times New Roman" w:hAnsi="Times New Roman" w:cs="Times New Roman"/>
                <w:szCs w:val="21"/>
              </w:rPr>
              <w:t>t/a</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叶蜡石块</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rPr>
              <w:t>90万块/a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63</w:t>
            </w:r>
            <w:r>
              <w:rPr>
                <w:rFonts w:hint="default" w:ascii="Times New Roman" w:hAnsi="Times New Roman" w:eastAsia="宋体" w:cs="Times New Roman"/>
                <w:sz w:val="21"/>
                <w:szCs w:val="21"/>
              </w:rPr>
              <w:t>万块/a</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钢圈</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rPr>
              <w:t>3t/a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2.1</w:t>
            </w:r>
            <w:r>
              <w:rPr>
                <w:rFonts w:hint="default" w:ascii="Times New Roman" w:hAnsi="Times New Roman" w:cs="Times New Roman"/>
                <w:szCs w:val="21"/>
              </w:rPr>
              <w:t>t/a</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碳管</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rPr>
              <w:t>17t/a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11.9</w:t>
            </w:r>
            <w:r>
              <w:rPr>
                <w:rFonts w:hint="default" w:ascii="Times New Roman" w:hAnsi="Times New Roman" w:cs="Times New Roman"/>
                <w:szCs w:val="21"/>
              </w:rPr>
              <w:t>t/a</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sz w:val="21"/>
                <w:szCs w:val="21"/>
              </w:rPr>
              <w:t>白云石</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rPr>
              <w:t>10t/a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Cs w:val="21"/>
                <w:lang w:val="en-US" w:eastAsia="zh-CN"/>
              </w:rPr>
              <w:t>7</w:t>
            </w:r>
            <w:r>
              <w:rPr>
                <w:rFonts w:hint="default" w:ascii="Times New Roman" w:hAnsi="Times New Roman" w:cs="Times New Roman"/>
                <w:szCs w:val="21"/>
              </w:rPr>
              <w:t>t/a</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widowControl/>
              <w:spacing w:line="36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浓硫酸</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rPr>
              <w:t>434</w:t>
            </w:r>
            <w:r>
              <w:rPr>
                <w:rFonts w:hint="default" w:ascii="Times New Roman" w:hAnsi="Times New Roman" w:eastAsia="宋体" w:cs="Times New Roman"/>
                <w:bCs/>
                <w:sz w:val="21"/>
                <w:szCs w:val="21"/>
              </w:rPr>
              <w:t>瓶</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304</w:t>
            </w:r>
            <w:r>
              <w:rPr>
                <w:rFonts w:hint="default" w:ascii="Times New Roman" w:hAnsi="Times New Roman" w:eastAsia="宋体" w:cs="Times New Roman"/>
                <w:bCs/>
                <w:sz w:val="21"/>
                <w:szCs w:val="21"/>
              </w:rPr>
              <w:t>瓶</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widowControl/>
              <w:spacing w:line="36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硝酸</w:t>
            </w:r>
          </w:p>
        </w:tc>
        <w:tc>
          <w:tcPr>
            <w:tcW w:w="684"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rPr>
              <w:t>700</w:t>
            </w:r>
            <w:r>
              <w:rPr>
                <w:rFonts w:hint="default" w:ascii="Times New Roman" w:hAnsi="Times New Roman" w:eastAsia="宋体" w:cs="Times New Roman"/>
                <w:bCs/>
                <w:sz w:val="21"/>
                <w:szCs w:val="21"/>
              </w:rPr>
              <w:t>瓶</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490</w:t>
            </w:r>
            <w:r>
              <w:rPr>
                <w:rFonts w:hint="default" w:ascii="Times New Roman" w:hAnsi="Times New Roman" w:eastAsia="宋体" w:cs="Times New Roman"/>
                <w:bCs/>
                <w:sz w:val="21"/>
                <w:szCs w:val="21"/>
              </w:rPr>
              <w:t>瓶</w:t>
            </w:r>
          </w:p>
        </w:tc>
        <w:tc>
          <w:tcPr>
            <w:tcW w:w="2322" w:type="pct"/>
            <w:vMerge w:val="continue"/>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p>
        </w:tc>
        <w:tc>
          <w:tcPr>
            <w:tcW w:w="610" w:type="pct"/>
            <w:tcBorders>
              <w:left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5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氢氧化钠</w:t>
            </w:r>
          </w:p>
        </w:tc>
        <w:tc>
          <w:tcPr>
            <w:tcW w:w="684" w:type="pct"/>
            <w:tcBorders>
              <w:right w:val="single" w:color="auto" w:sz="4" w:space="0"/>
            </w:tcBorders>
            <w:vAlign w:val="center"/>
          </w:tcPr>
          <w:p>
            <w:pPr>
              <w:spacing w:line="360" w:lineRule="exact"/>
              <w:ind w:right="147" w:rightChars="0"/>
              <w:jc w:val="center"/>
              <w:rPr>
                <w:rFonts w:hint="default" w:ascii="Times New Roman" w:hAnsi="Times New Roman" w:eastAsia="宋体" w:cs="Times New Roman"/>
                <w:color w:val="000000"/>
                <w:kern w:val="2"/>
                <w:sz w:val="21"/>
                <w:szCs w:val="22"/>
                <w:lang w:val="en-US" w:eastAsia="zh-CN" w:bidi="he-IL"/>
              </w:rPr>
            </w:pPr>
            <w:r>
              <w:rPr>
                <w:rFonts w:hint="default" w:ascii="Times New Roman" w:hAnsi="Times New Roman" w:cs="Times New Roman"/>
                <w:color w:val="000000"/>
                <w:lang w:bidi="he-IL"/>
              </w:rPr>
              <w:t>5t/a</w:t>
            </w:r>
          </w:p>
        </w:tc>
        <w:tc>
          <w:tcPr>
            <w:tcW w:w="730" w:type="pct"/>
            <w:tcBorders>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lang w:val="en-US" w:eastAsia="zh-CN"/>
              </w:rPr>
              <w:t>2</w:t>
            </w:r>
            <w:r>
              <w:rPr>
                <w:rFonts w:hint="default" w:ascii="Times New Roman" w:hAnsi="Times New Roman" w:cs="Times New Roman"/>
                <w:color w:val="000000"/>
              </w:rPr>
              <w:t>t/a</w:t>
            </w:r>
          </w:p>
        </w:tc>
        <w:tc>
          <w:tcPr>
            <w:tcW w:w="2322" w:type="pct"/>
            <w:tcBorders>
              <w:left w:val="single" w:color="auto" w:sz="4" w:space="0"/>
              <w:right w:val="single" w:color="auto" w:sz="4" w:space="0"/>
            </w:tcBorders>
            <w:vAlign w:val="center"/>
          </w:tcPr>
          <w:p>
            <w:pPr>
              <w:pStyle w:val="20"/>
              <w:spacing w:before="0" w:line="360" w:lineRule="exact"/>
              <w:ind w:left="0" w:leftChars="0"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lang w:eastAsia="zh-CN"/>
              </w:rPr>
              <w:t>煮碱工序取消，氢氧化钠使用量减少，氢氧化钠用于废水中和处理。</w:t>
            </w:r>
          </w:p>
        </w:tc>
        <w:tc>
          <w:tcPr>
            <w:tcW w:w="610" w:type="pct"/>
            <w:tcBorders>
              <w:left w:val="single" w:color="auto" w:sz="4" w:space="0"/>
              <w:right w:val="single" w:color="auto" w:sz="4" w:space="0"/>
            </w:tcBorders>
            <w:vAlign w:val="center"/>
          </w:tcPr>
          <w:p>
            <w:pPr>
              <w:pStyle w:val="20"/>
              <w:spacing w:before="0" w:line="360" w:lineRule="exact"/>
              <w:ind w:left="0" w:leftChars="0"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2" w:hRule="atLeast"/>
          <w:jc w:val="center"/>
        </w:trPr>
        <w:tc>
          <w:tcPr>
            <w:tcW w:w="652" w:type="pct"/>
            <w:vAlign w:val="center"/>
          </w:tcPr>
          <w:p>
            <w:pPr>
              <w:widowControl/>
              <w:spacing w:line="360" w:lineRule="exact"/>
              <w:jc w:val="center"/>
              <w:rPr>
                <w:rFonts w:hint="default" w:ascii="Times New Roman" w:hAnsi="Times New Roman" w:eastAsia="宋体" w:cs="Times New Roman"/>
                <w:color w:val="000000"/>
                <w:szCs w:val="21"/>
                <w:lang w:eastAsia="zh-CN"/>
              </w:rPr>
            </w:pPr>
            <w:r>
              <w:rPr>
                <w:rFonts w:hint="default" w:ascii="Times New Roman" w:hAnsi="Times New Roman" w:cs="Times New Roman"/>
                <w:kern w:val="0"/>
                <w:szCs w:val="21"/>
                <w:lang w:eastAsia="zh-CN"/>
              </w:rPr>
              <w:t>氢氧化钾</w:t>
            </w:r>
          </w:p>
        </w:tc>
        <w:tc>
          <w:tcPr>
            <w:tcW w:w="684" w:type="pct"/>
            <w:tcBorders>
              <w:right w:val="single" w:color="auto" w:sz="4" w:space="0"/>
            </w:tcBorders>
            <w:vAlign w:val="center"/>
          </w:tcPr>
          <w:p>
            <w:pPr>
              <w:spacing w:line="360" w:lineRule="exact"/>
              <w:ind w:right="147"/>
              <w:jc w:val="center"/>
              <w:rPr>
                <w:rFonts w:hint="default" w:ascii="Times New Roman" w:hAnsi="Times New Roman" w:cs="Times New Roman"/>
                <w:color w:val="000000"/>
                <w:lang w:bidi="he-IL"/>
              </w:rPr>
            </w:pPr>
            <w:r>
              <w:rPr>
                <w:rFonts w:hint="default" w:ascii="Times New Roman" w:hAnsi="Times New Roman" w:cs="Times New Roman"/>
                <w:color w:val="000000"/>
                <w:lang w:val="en-US" w:eastAsia="zh-CN" w:bidi="he-IL"/>
              </w:rPr>
              <w:t>6</w:t>
            </w:r>
            <w:r>
              <w:rPr>
                <w:rFonts w:hint="default" w:ascii="Times New Roman" w:hAnsi="Times New Roman" w:cs="Times New Roman"/>
                <w:color w:val="000000"/>
                <w:lang w:bidi="he-IL"/>
              </w:rPr>
              <w:t>t/a</w:t>
            </w:r>
          </w:p>
        </w:tc>
        <w:tc>
          <w:tcPr>
            <w:tcW w:w="7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000000"/>
              </w:rPr>
            </w:pPr>
            <w:r>
              <w:rPr>
                <w:rFonts w:hint="default" w:ascii="Times New Roman" w:hAnsi="Times New Roman" w:cs="Times New Roman"/>
                <w:color w:val="000000"/>
              </w:rPr>
              <w:t>0t/a</w:t>
            </w:r>
          </w:p>
        </w:tc>
        <w:tc>
          <w:tcPr>
            <w:tcW w:w="2322" w:type="pct"/>
            <w:tcBorders>
              <w:top w:val="single" w:color="auto" w:sz="4" w:space="0"/>
              <w:left w:val="single" w:color="auto" w:sz="4" w:space="0"/>
              <w:bottom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经企业实验对比，先泡酸、再煮酸，可以省去煮碱的工序，产品洁净度和煮碱工序效果相当。泡酸工序使用酸为煮酸后的废酸液，可以实现废酸液二次利用，既环保又节约成本。</w:t>
            </w:r>
          </w:p>
        </w:tc>
        <w:tc>
          <w:tcPr>
            <w:tcW w:w="610" w:type="pct"/>
            <w:tcBorders>
              <w:top w:val="single" w:color="auto" w:sz="4" w:space="0"/>
              <w:left w:val="single" w:color="auto" w:sz="4" w:space="0"/>
              <w:bottom w:val="single" w:color="auto" w:sz="4" w:space="0"/>
              <w:right w:val="single" w:color="auto" w:sz="4" w:space="0"/>
            </w:tcBorders>
            <w:vAlign w:val="center"/>
          </w:tcPr>
          <w:p>
            <w:pPr>
              <w:pStyle w:val="20"/>
              <w:spacing w:before="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bl>
    <w:p>
      <w:pPr>
        <w:spacing w:line="520" w:lineRule="exact"/>
        <w:rPr>
          <w:rFonts w:hint="default" w:ascii="Times New Roman" w:hAnsi="Times New Roman" w:eastAsia="黑体" w:cs="Times New Roman"/>
          <w:sz w:val="24"/>
          <w:szCs w:val="24"/>
        </w:rPr>
      </w:pPr>
    </w:p>
    <w:p>
      <w:pPr>
        <w:spacing w:line="520" w:lineRule="exact"/>
        <w:rPr>
          <w:rFonts w:hint="default" w:ascii="Times New Roman" w:hAnsi="Times New Roman" w:eastAsia="黑体" w:cs="Times New Roman"/>
          <w:sz w:val="24"/>
          <w:szCs w:val="24"/>
        </w:rPr>
      </w:pPr>
    </w:p>
    <w:p>
      <w:pPr>
        <w:spacing w:line="520" w:lineRule="exact"/>
        <w:rPr>
          <w:rFonts w:hint="default" w:ascii="Times New Roman" w:hAnsi="Times New Roman" w:eastAsia="黑体" w:cs="Times New Roman"/>
          <w:sz w:val="24"/>
          <w:szCs w:val="24"/>
        </w:rPr>
      </w:pPr>
    </w:p>
    <w:p>
      <w:pPr>
        <w:spacing w:line="520" w:lineRule="exact"/>
        <w:rPr>
          <w:rFonts w:hint="default" w:ascii="Times New Roman" w:hAnsi="Times New Roman" w:eastAsia="黑体" w:cs="Times New Roman"/>
          <w:sz w:val="24"/>
          <w:szCs w:val="24"/>
        </w:rPr>
      </w:pP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3.9.2</w:t>
      </w:r>
      <w:r>
        <w:rPr>
          <w:rFonts w:hint="default" w:ascii="Times New Roman" w:hAnsi="Times New Roman" w:eastAsia="黑体" w:cs="Times New Roman"/>
          <w:sz w:val="24"/>
          <w:szCs w:val="24"/>
          <w:lang w:eastAsia="zh-CN"/>
        </w:rPr>
        <w:t>生产设备</w:t>
      </w:r>
      <w:r>
        <w:rPr>
          <w:rFonts w:hint="default" w:ascii="Times New Roman" w:hAnsi="Times New Roman" w:eastAsia="黑体" w:cs="Times New Roman"/>
          <w:sz w:val="24"/>
          <w:szCs w:val="24"/>
        </w:rPr>
        <w:t>变化情况</w:t>
      </w:r>
    </w:p>
    <w:p>
      <w:pPr>
        <w:spacing w:line="520" w:lineRule="exact"/>
        <w:ind w:firstLine="720" w:firstLineChars="3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w:t>
      </w:r>
      <w:r>
        <w:rPr>
          <w:rFonts w:hint="default" w:ascii="Times New Roman" w:hAnsi="Times New Roman" w:eastAsia="黑体" w:cs="Times New Roman"/>
          <w:sz w:val="24"/>
          <w:szCs w:val="24"/>
          <w:lang w:val="en-US" w:eastAsia="zh-CN"/>
        </w:rPr>
        <w:t>9</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项目生产设备</w:t>
      </w:r>
      <w:r>
        <w:rPr>
          <w:rFonts w:hint="default" w:ascii="Times New Roman" w:hAnsi="Times New Roman" w:eastAsia="黑体" w:cs="Times New Roman"/>
          <w:sz w:val="24"/>
          <w:szCs w:val="24"/>
          <w:lang w:val="en-US" w:eastAsia="zh-CN"/>
        </w:rPr>
        <w:t>变动情况</w:t>
      </w:r>
      <w:r>
        <w:rPr>
          <w:rFonts w:hint="default" w:ascii="Times New Roman" w:hAnsi="Times New Roman" w:eastAsia="黑体" w:cs="Times New Roman"/>
          <w:sz w:val="24"/>
          <w:szCs w:val="24"/>
        </w:rPr>
        <w:t>一览表</w:t>
      </w:r>
    </w:p>
    <w:tbl>
      <w:tblPr>
        <w:tblStyle w:val="42"/>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1098"/>
        <w:gridCol w:w="969"/>
        <w:gridCol w:w="952"/>
        <w:gridCol w:w="859"/>
        <w:gridCol w:w="918"/>
        <w:gridCol w:w="2395"/>
        <w:gridCol w:w="1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79" w:type="pct"/>
            <w:vMerge w:val="restar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622" w:type="pct"/>
            <w:vMerge w:val="restar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1089" w:type="pct"/>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环评批复</w:t>
            </w:r>
          </w:p>
        </w:tc>
        <w:tc>
          <w:tcPr>
            <w:tcW w:w="1007" w:type="pct"/>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实际建设</w:t>
            </w:r>
          </w:p>
        </w:tc>
        <w:tc>
          <w:tcPr>
            <w:tcW w:w="1358" w:type="pct"/>
            <w:vMerge w:val="restart"/>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变动原因</w:t>
            </w:r>
          </w:p>
        </w:tc>
        <w:tc>
          <w:tcPr>
            <w:tcW w:w="541" w:type="pct"/>
            <w:gridSpan w:val="2"/>
            <w:vMerge w:val="restart"/>
            <w:vAlign w:val="center"/>
          </w:tcPr>
          <w:p>
            <w:pPr>
              <w:spacing w:line="360" w:lineRule="exact"/>
              <w:jc w:val="center"/>
              <w:rPr>
                <w:rFonts w:hint="default" w:ascii="Times New Roman" w:hAnsi="Times New Roman" w:cs="Times New Roman"/>
                <w:szCs w:val="21"/>
                <w:lang w:eastAsia="zh-CN"/>
              </w:rPr>
            </w:pPr>
            <w:r>
              <w:rPr>
                <w:rFonts w:hint="default" w:ascii="Times New Roman" w:hAnsi="Times New Roman" w:cs="Times New Roman"/>
                <w:color w:val="000000"/>
                <w:sz w:val="21"/>
                <w:szCs w:val="21"/>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379" w:type="pct"/>
            <w:vMerge w:val="continue"/>
            <w:vAlign w:val="center"/>
          </w:tcPr>
          <w:p>
            <w:pPr>
              <w:spacing w:line="360" w:lineRule="exact"/>
              <w:jc w:val="center"/>
              <w:rPr>
                <w:rFonts w:hint="default" w:ascii="Times New Roman" w:hAnsi="Times New Roman" w:cs="Times New Roman"/>
                <w:szCs w:val="21"/>
              </w:rPr>
            </w:pPr>
          </w:p>
        </w:tc>
        <w:tc>
          <w:tcPr>
            <w:tcW w:w="622" w:type="pct"/>
            <w:vMerge w:val="continue"/>
            <w:vAlign w:val="center"/>
          </w:tcPr>
          <w:p>
            <w:pPr>
              <w:spacing w:line="360" w:lineRule="exact"/>
              <w:jc w:val="center"/>
              <w:rPr>
                <w:rFonts w:hint="default" w:ascii="Times New Roman" w:hAnsi="Times New Roman" w:cs="Times New Roman"/>
                <w:szCs w:val="21"/>
              </w:rPr>
            </w:pPr>
          </w:p>
        </w:tc>
        <w:tc>
          <w:tcPr>
            <w:tcW w:w="549"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540"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487"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520"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1358" w:type="pct"/>
            <w:vMerge w:val="continue"/>
            <w:vAlign w:val="center"/>
          </w:tcPr>
          <w:p>
            <w:pPr>
              <w:spacing w:line="360" w:lineRule="exact"/>
              <w:jc w:val="center"/>
              <w:rPr>
                <w:rFonts w:hint="default" w:ascii="Times New Roman" w:hAnsi="Times New Roman" w:cs="Times New Roman"/>
                <w:szCs w:val="21"/>
                <w:lang w:eastAsia="zh-CN"/>
              </w:rPr>
            </w:pPr>
          </w:p>
        </w:tc>
        <w:tc>
          <w:tcPr>
            <w:tcW w:w="541" w:type="pct"/>
            <w:gridSpan w:val="2"/>
            <w:vMerge w:val="continue"/>
            <w:vAlign w:val="center"/>
          </w:tcPr>
          <w:p>
            <w:pPr>
              <w:spacing w:line="360" w:lineRule="exact"/>
              <w:jc w:val="center"/>
              <w:rPr>
                <w:rFonts w:hint="default" w:ascii="Times New Roman" w:hAnsi="Times New Roman"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622" w:type="pct"/>
            <w:vMerge w:val="restart"/>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r>
              <w:rPr>
                <w:rFonts w:hint="default" w:ascii="Times New Roman" w:hAnsi="Times New Roman" w:cs="Times New Roman"/>
                <w:szCs w:val="21"/>
              </w:rPr>
              <w:t>六面顶压机</w:t>
            </w:r>
          </w:p>
        </w:tc>
        <w:tc>
          <w:tcPr>
            <w:tcW w:w="549"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560</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487" w:type="pct"/>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560</w:t>
            </w:r>
          </w:p>
        </w:tc>
        <w:tc>
          <w:tcPr>
            <w:tcW w:w="520" w:type="pct"/>
            <w:vAlign w:val="center"/>
          </w:tcPr>
          <w:p>
            <w:pPr>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0</w:t>
            </w:r>
          </w:p>
        </w:tc>
        <w:tc>
          <w:tcPr>
            <w:tcW w:w="1358" w:type="pct"/>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顶压机数量减少，满足年产3500万产能</w:t>
            </w:r>
          </w:p>
        </w:tc>
        <w:tc>
          <w:tcPr>
            <w:tcW w:w="541" w:type="pct"/>
            <w:gridSpan w:val="2"/>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2</w:t>
            </w:r>
          </w:p>
        </w:tc>
        <w:tc>
          <w:tcPr>
            <w:tcW w:w="622" w:type="pct"/>
            <w:vMerge w:val="continue"/>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p>
        </w:tc>
        <w:tc>
          <w:tcPr>
            <w:tcW w:w="549"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750</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487" w:type="pct"/>
            <w:vAlign w:val="center"/>
          </w:tcPr>
          <w:p>
            <w:pPr>
              <w:widowControl/>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Cs w:val="21"/>
              </w:rPr>
              <w:t>750</w:t>
            </w:r>
          </w:p>
        </w:tc>
        <w:tc>
          <w:tcPr>
            <w:tcW w:w="520"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w:t>
            </w:r>
          </w:p>
        </w:tc>
        <w:tc>
          <w:tcPr>
            <w:tcW w:w="1358" w:type="pct"/>
            <w:vMerge w:val="continue"/>
            <w:vAlign w:val="center"/>
          </w:tcPr>
          <w:p>
            <w:pPr>
              <w:spacing w:line="360" w:lineRule="exact"/>
              <w:jc w:val="center"/>
              <w:rPr>
                <w:rFonts w:hint="default" w:ascii="Times New Roman" w:hAnsi="Times New Roman" w:cs="Times New Roman"/>
                <w:kern w:val="0"/>
                <w:szCs w:val="21"/>
              </w:rPr>
            </w:pPr>
          </w:p>
        </w:tc>
        <w:tc>
          <w:tcPr>
            <w:tcW w:w="541" w:type="pct"/>
            <w:gridSpan w:val="2"/>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3</w:t>
            </w:r>
          </w:p>
        </w:tc>
        <w:tc>
          <w:tcPr>
            <w:tcW w:w="622"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zh-CN"/>
              </w:rPr>
            </w:pPr>
          </w:p>
        </w:tc>
        <w:tc>
          <w:tcPr>
            <w:tcW w:w="549"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650</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33</w:t>
            </w:r>
          </w:p>
        </w:tc>
        <w:tc>
          <w:tcPr>
            <w:tcW w:w="487" w:type="pct"/>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650</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28</w:t>
            </w:r>
          </w:p>
        </w:tc>
        <w:tc>
          <w:tcPr>
            <w:tcW w:w="1358" w:type="pct"/>
            <w:vMerge w:val="continue"/>
            <w:vAlign w:val="center"/>
          </w:tcPr>
          <w:p>
            <w:pPr>
              <w:spacing w:line="360" w:lineRule="exact"/>
              <w:jc w:val="center"/>
              <w:rPr>
                <w:rFonts w:hint="default" w:ascii="Times New Roman" w:hAnsi="Times New Roman" w:cs="Times New Roman"/>
                <w:kern w:val="0"/>
                <w:szCs w:val="21"/>
              </w:rPr>
            </w:pPr>
          </w:p>
        </w:tc>
        <w:tc>
          <w:tcPr>
            <w:tcW w:w="541" w:type="pct"/>
            <w:gridSpan w:val="2"/>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5</w:t>
            </w:r>
          </w:p>
        </w:tc>
        <w:tc>
          <w:tcPr>
            <w:tcW w:w="62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摇床</w:t>
            </w:r>
          </w:p>
        </w:tc>
        <w:tc>
          <w:tcPr>
            <w:tcW w:w="549" w:type="pct"/>
            <w:vAlign w:val="center"/>
          </w:tcPr>
          <w:p>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sz w:val="21"/>
                <w:szCs w:val="21"/>
              </w:rPr>
              <w:t>3000</w:t>
            </w:r>
            <w:r>
              <w:rPr>
                <w:rFonts w:hint="default" w:ascii="Times New Roman" w:hAnsi="Times New Roman" w:cs="Times New Roman"/>
                <w:sz w:val="21"/>
                <w:szCs w:val="21"/>
                <w:lang w:val="en-US" w:eastAsia="zh-CN"/>
              </w:rPr>
              <w:t>L</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5</w:t>
            </w:r>
            <w:r>
              <w:rPr>
                <w:rFonts w:hint="default" w:ascii="Times New Roman" w:hAnsi="Times New Roman" w:eastAsia="宋体" w:cs="Times New Roman"/>
                <w:sz w:val="21"/>
                <w:szCs w:val="21"/>
              </w:rPr>
              <w:t>000</w:t>
            </w:r>
            <w:r>
              <w:rPr>
                <w:rFonts w:hint="default" w:ascii="Times New Roman" w:hAnsi="Times New Roman" w:cs="Times New Roman"/>
                <w:sz w:val="21"/>
                <w:szCs w:val="21"/>
                <w:lang w:val="en-US" w:eastAsia="zh-CN"/>
              </w:rPr>
              <w:t>L</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w:t>
            </w:r>
          </w:p>
        </w:tc>
        <w:tc>
          <w:tcPr>
            <w:tcW w:w="1358"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摇床尺寸变化，</w:t>
            </w: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2台，单台摇床产能不变</w:t>
            </w:r>
          </w:p>
        </w:tc>
        <w:tc>
          <w:tcPr>
            <w:tcW w:w="541" w:type="pct"/>
            <w:gridSpan w:val="2"/>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379" w:type="pct"/>
            <w:vMerge w:val="restar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8</w:t>
            </w:r>
          </w:p>
        </w:tc>
        <w:tc>
          <w:tcPr>
            <w:tcW w:w="622" w:type="pct"/>
            <w:vMerge w:val="restar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混料机</w:t>
            </w:r>
          </w:p>
        </w:tc>
        <w:tc>
          <w:tcPr>
            <w:tcW w:w="549" w:type="pct"/>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300L</w:t>
            </w:r>
          </w:p>
        </w:tc>
        <w:tc>
          <w:tcPr>
            <w:tcW w:w="540" w:type="pct"/>
            <w:vMerge w:val="restar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300L</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358" w:type="pct"/>
            <w:vMerge w:val="restart"/>
            <w:vAlign w:val="center"/>
          </w:tcPr>
          <w:p>
            <w:pPr>
              <w:spacing w:line="360" w:lineRule="exact"/>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混料机自制，规格变大，混料规模不变，设备数量</w:t>
            </w:r>
            <w:r>
              <w:rPr>
                <w:rFonts w:hint="default" w:ascii="Times New Roman" w:hAnsi="Times New Roman" w:cs="Times New Roman"/>
                <w:kern w:val="0"/>
                <w:szCs w:val="21"/>
                <w:lang w:eastAsia="zh-CN"/>
              </w:rPr>
              <w:t>较环评减少</w:t>
            </w:r>
            <w:r>
              <w:rPr>
                <w:rFonts w:hint="default" w:ascii="Times New Roman" w:hAnsi="Times New Roman" w:cs="Times New Roman"/>
                <w:kern w:val="0"/>
                <w:szCs w:val="21"/>
                <w:lang w:val="en-US" w:eastAsia="zh-CN"/>
              </w:rPr>
              <w:t>2台</w:t>
            </w:r>
          </w:p>
        </w:tc>
        <w:tc>
          <w:tcPr>
            <w:tcW w:w="541" w:type="pct"/>
            <w:gridSpan w:val="2"/>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379"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p>
        </w:tc>
        <w:tc>
          <w:tcPr>
            <w:tcW w:w="622" w:type="pct"/>
            <w:vMerge w:val="continue"/>
            <w:vAlign w:val="center"/>
          </w:tcPr>
          <w:p>
            <w:pPr>
              <w:widowControl/>
              <w:spacing w:line="360" w:lineRule="exact"/>
              <w:jc w:val="center"/>
              <w:rPr>
                <w:rFonts w:hint="default" w:ascii="Times New Roman" w:hAnsi="Times New Roman" w:eastAsia="宋体" w:cs="Times New Roman"/>
                <w:sz w:val="21"/>
                <w:szCs w:val="21"/>
              </w:rPr>
            </w:pPr>
          </w:p>
        </w:tc>
        <w:tc>
          <w:tcPr>
            <w:tcW w:w="549" w:type="pct"/>
            <w:vMerge w:val="continue"/>
            <w:vAlign w:val="center"/>
          </w:tcPr>
          <w:p>
            <w:pPr>
              <w:jc w:val="center"/>
              <w:rPr>
                <w:rFonts w:hint="default" w:ascii="Times New Roman" w:hAnsi="Times New Roman" w:cs="Times New Roman"/>
                <w:sz w:val="21"/>
                <w:szCs w:val="21"/>
                <w:lang w:val="en-US" w:eastAsia="zh-CN"/>
              </w:rPr>
            </w:pPr>
          </w:p>
        </w:tc>
        <w:tc>
          <w:tcPr>
            <w:tcW w:w="540" w:type="pct"/>
            <w:vMerge w:val="continue"/>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300L</w:t>
            </w:r>
          </w:p>
        </w:tc>
        <w:tc>
          <w:tcPr>
            <w:tcW w:w="52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1358" w:type="pct"/>
            <w:vMerge w:val="continue"/>
            <w:vAlign w:val="center"/>
          </w:tcPr>
          <w:p>
            <w:pPr>
              <w:spacing w:line="360" w:lineRule="exact"/>
              <w:jc w:val="center"/>
              <w:rPr>
                <w:rFonts w:hint="default" w:ascii="Times New Roman" w:hAnsi="Times New Roman" w:cs="Times New Roman"/>
                <w:kern w:val="0"/>
                <w:szCs w:val="21"/>
                <w:lang w:eastAsia="zh-CN"/>
              </w:rPr>
            </w:pPr>
          </w:p>
        </w:tc>
        <w:tc>
          <w:tcPr>
            <w:tcW w:w="541" w:type="pct"/>
            <w:gridSpan w:val="2"/>
            <w:vMerge w:val="continue"/>
            <w:vAlign w:val="center"/>
          </w:tcPr>
          <w:p>
            <w:pPr>
              <w:spacing w:line="360" w:lineRule="exact"/>
              <w:jc w:val="center"/>
              <w:rPr>
                <w:rFonts w:hint="default" w:ascii="Times New Roman" w:hAnsi="Times New Roman" w:cs="Times New Roman"/>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379"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p>
        </w:tc>
        <w:tc>
          <w:tcPr>
            <w:tcW w:w="622" w:type="pct"/>
            <w:vMerge w:val="continue"/>
            <w:vAlign w:val="center"/>
          </w:tcPr>
          <w:p>
            <w:pPr>
              <w:widowControl/>
              <w:spacing w:line="360" w:lineRule="exact"/>
              <w:jc w:val="center"/>
              <w:rPr>
                <w:rFonts w:hint="default" w:ascii="Times New Roman" w:hAnsi="Times New Roman" w:eastAsia="宋体" w:cs="Times New Roman"/>
                <w:sz w:val="21"/>
                <w:szCs w:val="21"/>
              </w:rPr>
            </w:pPr>
          </w:p>
        </w:tc>
        <w:tc>
          <w:tcPr>
            <w:tcW w:w="549" w:type="pct"/>
            <w:vMerge w:val="continue"/>
            <w:vAlign w:val="center"/>
          </w:tcPr>
          <w:p>
            <w:pPr>
              <w:jc w:val="center"/>
              <w:rPr>
                <w:rFonts w:hint="default" w:ascii="Times New Roman" w:hAnsi="Times New Roman" w:cs="Times New Roman"/>
                <w:sz w:val="21"/>
                <w:szCs w:val="21"/>
                <w:lang w:val="en-US" w:eastAsia="zh-CN"/>
              </w:rPr>
            </w:pPr>
          </w:p>
        </w:tc>
        <w:tc>
          <w:tcPr>
            <w:tcW w:w="540" w:type="pct"/>
            <w:vMerge w:val="continue"/>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900L</w:t>
            </w:r>
          </w:p>
        </w:tc>
        <w:tc>
          <w:tcPr>
            <w:tcW w:w="52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1358" w:type="pct"/>
            <w:vMerge w:val="continue"/>
            <w:vAlign w:val="center"/>
          </w:tcPr>
          <w:p>
            <w:pPr>
              <w:spacing w:line="360" w:lineRule="exact"/>
              <w:jc w:val="center"/>
              <w:rPr>
                <w:rFonts w:hint="default" w:ascii="Times New Roman" w:hAnsi="Times New Roman" w:cs="Times New Roman"/>
                <w:kern w:val="0"/>
                <w:szCs w:val="21"/>
                <w:lang w:eastAsia="zh-CN"/>
              </w:rPr>
            </w:pPr>
          </w:p>
        </w:tc>
        <w:tc>
          <w:tcPr>
            <w:tcW w:w="541" w:type="pct"/>
            <w:gridSpan w:val="2"/>
            <w:vMerge w:val="continue"/>
            <w:vAlign w:val="center"/>
          </w:tcPr>
          <w:p>
            <w:pPr>
              <w:spacing w:line="360" w:lineRule="exact"/>
              <w:jc w:val="center"/>
              <w:rPr>
                <w:rFonts w:hint="default" w:ascii="Times New Roman" w:hAnsi="Times New Roman" w:cs="Times New Roman"/>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9</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球磨机</w:t>
            </w:r>
          </w:p>
        </w:tc>
        <w:tc>
          <w:tcPr>
            <w:tcW w:w="549" w:type="pc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6</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自制</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358" w:type="pct"/>
            <w:vAlign w:val="center"/>
          </w:tcPr>
          <w:p>
            <w:pPr>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设备自制，规格变大，设备数量</w:t>
            </w:r>
            <w:r>
              <w:rPr>
                <w:rFonts w:hint="default" w:ascii="Times New Roman" w:hAnsi="Times New Roman" w:cs="Times New Roman"/>
                <w:kern w:val="0"/>
                <w:szCs w:val="21"/>
                <w:lang w:eastAsia="zh-CN"/>
              </w:rPr>
              <w:t>较环评减少</w:t>
            </w:r>
            <w:r>
              <w:rPr>
                <w:rFonts w:hint="default" w:ascii="Times New Roman" w:hAnsi="Times New Roman" w:cs="Times New Roman"/>
                <w:kern w:val="0"/>
                <w:szCs w:val="21"/>
                <w:lang w:val="en-US" w:eastAsia="zh-CN"/>
              </w:rPr>
              <w:t>3台</w:t>
            </w:r>
          </w:p>
        </w:tc>
        <w:tc>
          <w:tcPr>
            <w:tcW w:w="541" w:type="pct"/>
            <w:gridSpan w:val="2"/>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12</w:t>
            </w:r>
          </w:p>
        </w:tc>
        <w:tc>
          <w:tcPr>
            <w:tcW w:w="62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真空包装机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5</w:t>
            </w:r>
          </w:p>
        </w:tc>
        <w:tc>
          <w:tcPr>
            <w:tcW w:w="487"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364" w:type="pct"/>
            <w:gridSpan w:val="2"/>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2台，项目产能由5000万克拉降至3500万克拉，3台包装设备可满足生产需求。</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14</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大烘箱</w:t>
            </w:r>
          </w:p>
        </w:tc>
        <w:tc>
          <w:tcPr>
            <w:tcW w:w="549" w:type="pct"/>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200L</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5</w:t>
            </w:r>
          </w:p>
        </w:tc>
        <w:tc>
          <w:tcPr>
            <w:tcW w:w="1364" w:type="pct"/>
            <w:gridSpan w:val="2"/>
            <w:vAlign w:val="center"/>
          </w:tcPr>
          <w:p>
            <w:pPr>
              <w:spacing w:line="360" w:lineRule="exact"/>
              <w:jc w:val="center"/>
              <w:rPr>
                <w:rFonts w:hint="default" w:ascii="Times New Roman" w:hAnsi="Times New Roman" w:cs="Times New Roman"/>
                <w:kern w:val="0"/>
                <w:szCs w:val="21"/>
                <w:lang w:val="en-US"/>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5台，烘箱容积变大，可满足生产要求。</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16</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油压机</w:t>
            </w:r>
          </w:p>
        </w:tc>
        <w:tc>
          <w:tcPr>
            <w:tcW w:w="54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364" w:type="pct"/>
            <w:gridSpan w:val="2"/>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较环评数量多</w:t>
            </w:r>
            <w:r>
              <w:rPr>
                <w:rFonts w:hint="default" w:ascii="Times New Roman" w:hAnsi="Times New Roman" w:cs="Times New Roman"/>
                <w:kern w:val="0"/>
                <w:szCs w:val="21"/>
                <w:lang w:val="en-US" w:eastAsia="zh-CN"/>
              </w:rPr>
              <w:t>2台</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17</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洗酸机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100L</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7</w:t>
            </w:r>
          </w:p>
        </w:tc>
        <w:tc>
          <w:tcPr>
            <w:tcW w:w="1364" w:type="pct"/>
            <w:gridSpan w:val="2"/>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洗酸机规格变大，</w:t>
            </w: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3台。</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18</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煮碱炉</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w:t>
            </w:r>
          </w:p>
        </w:tc>
        <w:tc>
          <w:tcPr>
            <w:tcW w:w="1364" w:type="pct"/>
            <w:gridSpan w:val="2"/>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取消煮碱、洗碱工序</w:t>
            </w:r>
          </w:p>
        </w:tc>
        <w:tc>
          <w:tcPr>
            <w:tcW w:w="535" w:type="pct"/>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19</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洗碱机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w:t>
            </w:r>
          </w:p>
        </w:tc>
        <w:tc>
          <w:tcPr>
            <w:tcW w:w="1364" w:type="pct"/>
            <w:gridSpan w:val="2"/>
            <w:vMerge w:val="continue"/>
            <w:vAlign w:val="center"/>
          </w:tcPr>
          <w:p>
            <w:pPr>
              <w:spacing w:line="360" w:lineRule="exact"/>
              <w:jc w:val="center"/>
              <w:rPr>
                <w:rFonts w:hint="default" w:ascii="Times New Roman" w:hAnsi="Times New Roman" w:cs="Times New Roman"/>
                <w:kern w:val="0"/>
                <w:szCs w:val="21"/>
              </w:rPr>
            </w:pPr>
          </w:p>
        </w:tc>
        <w:tc>
          <w:tcPr>
            <w:tcW w:w="535"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20</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旋振筛</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自制</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13</w:t>
            </w:r>
          </w:p>
        </w:tc>
        <w:tc>
          <w:tcPr>
            <w:tcW w:w="1364" w:type="pct"/>
            <w:gridSpan w:val="2"/>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产能下降，且旋振筛层数增加，分级</w:t>
            </w: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17台。</w:t>
            </w:r>
          </w:p>
        </w:tc>
        <w:tc>
          <w:tcPr>
            <w:tcW w:w="535" w:type="pc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21</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选型机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23</w:t>
            </w:r>
          </w:p>
        </w:tc>
        <w:tc>
          <w:tcPr>
            <w:tcW w:w="1364" w:type="pct"/>
            <w:gridSpan w:val="2"/>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较环评数量减少</w:t>
            </w:r>
            <w:r>
              <w:rPr>
                <w:rFonts w:hint="default" w:ascii="Times New Roman" w:hAnsi="Times New Roman" w:cs="Times New Roman"/>
                <w:kern w:val="0"/>
                <w:szCs w:val="21"/>
                <w:lang w:val="en-US" w:eastAsia="zh-CN"/>
              </w:rPr>
              <w:t>7台，产能下降，旋振筛数量减少，对应选型机数量减少。</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24</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煮酸机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3</w:t>
            </w:r>
          </w:p>
        </w:tc>
        <w:tc>
          <w:tcPr>
            <w:tcW w:w="1364" w:type="pct"/>
            <w:gridSpan w:val="2"/>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煮酸工序设备，环评时</w:t>
            </w:r>
            <w:r>
              <w:rPr>
                <w:rFonts w:hint="default" w:ascii="Times New Roman" w:hAnsi="Times New Roman" w:cs="Times New Roman"/>
                <w:kern w:val="0"/>
                <w:szCs w:val="21"/>
                <w:lang w:eastAsia="zh-CN"/>
              </w:rPr>
              <w:t>生产工艺已评价，</w:t>
            </w:r>
            <w:r>
              <w:rPr>
                <w:rFonts w:hint="default" w:ascii="Times New Roman" w:hAnsi="Times New Roman" w:cs="Times New Roman"/>
                <w:kern w:val="0"/>
                <w:szCs w:val="21"/>
                <w:lang w:val="en-US" w:eastAsia="zh-CN"/>
              </w:rPr>
              <w:t>设备遗漏</w:t>
            </w:r>
          </w:p>
        </w:tc>
        <w:tc>
          <w:tcPr>
            <w:tcW w:w="535" w:type="pct"/>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25</w:t>
            </w:r>
          </w:p>
        </w:tc>
        <w:tc>
          <w:tcPr>
            <w:tcW w:w="62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eastAsia="宋体" w:cs="Times New Roman"/>
                <w:sz w:val="21"/>
                <w:szCs w:val="21"/>
              </w:rPr>
              <w:t>煮水炉</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w:t>
            </w:r>
          </w:p>
        </w:tc>
        <w:tc>
          <w:tcPr>
            <w:tcW w:w="1364" w:type="pct"/>
            <w:gridSpan w:val="2"/>
            <w:vMerge w:val="continue"/>
            <w:vAlign w:val="center"/>
          </w:tcPr>
          <w:p>
            <w:pPr>
              <w:spacing w:line="360" w:lineRule="exact"/>
              <w:jc w:val="center"/>
              <w:rPr>
                <w:rFonts w:hint="default" w:ascii="Times New Roman" w:hAnsi="Times New Roman" w:cs="Times New Roman"/>
                <w:kern w:val="0"/>
                <w:szCs w:val="21"/>
              </w:rPr>
            </w:pPr>
          </w:p>
        </w:tc>
        <w:tc>
          <w:tcPr>
            <w:tcW w:w="535"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379"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26</w:t>
            </w:r>
          </w:p>
        </w:tc>
        <w:tc>
          <w:tcPr>
            <w:tcW w:w="62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颚式破碎机</w:t>
            </w:r>
          </w:p>
        </w:tc>
        <w:tc>
          <w:tcPr>
            <w:tcW w:w="549"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540"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0</w:t>
            </w:r>
          </w:p>
        </w:tc>
        <w:tc>
          <w:tcPr>
            <w:tcW w:w="487"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sz w:val="21"/>
                <w:szCs w:val="21"/>
                <w:lang w:val="en-US" w:eastAsia="zh-CN"/>
              </w:rPr>
              <w:t>/</w:t>
            </w:r>
          </w:p>
        </w:tc>
        <w:tc>
          <w:tcPr>
            <w:tcW w:w="520" w:type="pct"/>
            <w:vAlign w:val="center"/>
          </w:tcPr>
          <w:p>
            <w:pPr>
              <w:widowControl/>
              <w:adjustRightInd w:val="0"/>
              <w:snapToGrid w:val="0"/>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1364" w:type="pct"/>
            <w:gridSpan w:val="2"/>
            <w:vAlign w:val="center"/>
          </w:tcPr>
          <w:p>
            <w:pPr>
              <w:spacing w:line="360" w:lineRule="exac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二次破碎较大物料</w:t>
            </w:r>
          </w:p>
        </w:tc>
        <w:tc>
          <w:tcPr>
            <w:tcW w:w="535" w:type="pct"/>
            <w:vAlign w:val="center"/>
          </w:tcPr>
          <w:p>
            <w:pPr>
              <w:spacing w:line="360" w:lineRule="exact"/>
              <w:jc w:val="center"/>
              <w:rPr>
                <w:rFonts w:hint="default" w:ascii="Times New Roman" w:hAnsi="Times New Roman" w:cs="Times New Roman"/>
                <w:kern w:val="0"/>
                <w:szCs w:val="21"/>
                <w:lang w:eastAsia="zh-CN"/>
              </w:rPr>
            </w:pPr>
            <w:r>
              <w:rPr>
                <w:rFonts w:hint="default" w:ascii="Times New Roman" w:hAnsi="Times New Roman" w:cs="Times New Roman"/>
                <w:kern w:val="0"/>
                <w:szCs w:val="21"/>
                <w:lang w:val="en-US" w:eastAsia="zh-CN"/>
              </w:rPr>
              <w:t>否</w:t>
            </w:r>
          </w:p>
        </w:tc>
      </w:tr>
    </w:tbl>
    <w:p>
      <w:pPr>
        <w:adjustRightInd w:val="0"/>
        <w:snapToGrid w:val="0"/>
        <w:spacing w:line="540" w:lineRule="exact"/>
        <w:ind w:firstLine="482" w:firstLineChars="200"/>
        <w:outlineLvl w:val="2"/>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六面定压机产能核算：</w:t>
      </w:r>
    </w:p>
    <w:p>
      <w:pPr>
        <w:adjustRightInd w:val="0"/>
        <w:snapToGrid w:val="0"/>
        <w:spacing w:line="540" w:lineRule="exact"/>
        <w:ind w:firstLine="480" w:firstLineChars="200"/>
        <w:outlineLvl w:val="2"/>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根据企业提供资料，实际建设六面定压机腔体直径增加，每批次投入物料量增大，每台压机工作8h可合成棒体21个，单棒产量为200克拉，则28台定压机产能为200*21*28*300=3528万克拉，满足生产产能要求。</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lang w:eastAsia="zh-CN"/>
        </w:rPr>
        <w:t>生产工艺变化</w:t>
      </w:r>
      <w:r>
        <w:rPr>
          <w:rFonts w:hint="default" w:ascii="Times New Roman" w:hAnsi="Times New Roman" w:eastAsia="黑体" w:cs="Times New Roman"/>
          <w:sz w:val="24"/>
          <w:szCs w:val="24"/>
        </w:rPr>
        <w:t>情况</w:t>
      </w:r>
    </w:p>
    <w:p>
      <w:pPr>
        <w:adjustRightInd w:val="0"/>
        <w:snapToGrid w:val="0"/>
        <w:spacing w:line="540" w:lineRule="exact"/>
        <w:ind w:firstLine="480" w:firstLineChars="200"/>
        <w:outlineLvl w:val="2"/>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经企业实验对比，先泡酸、再煮酸，可以省去煮碱的工序，产品洁净度和煮碱工序效果相当。泡酸工序使用酸为煮酸后的废酸液，可以实现废酸液二次利用，既环保又节约成本，</w:t>
      </w:r>
      <w:r>
        <w:rPr>
          <w:rFonts w:hint="default" w:ascii="Times New Roman" w:hAnsi="Times New Roman" w:cs="Times New Roman"/>
          <w:color w:val="000000"/>
          <w:sz w:val="24"/>
          <w:szCs w:val="24"/>
          <w:lang w:val="en-US" w:eastAsia="zh-CN"/>
        </w:rPr>
        <w:t>且未新增废气污染物种类，泡酸过程产生的少量酸性废气可以与煮酸工序废气一并处理</w:t>
      </w:r>
      <w:r>
        <w:rPr>
          <w:rFonts w:hint="default" w:ascii="Times New Roman" w:hAnsi="Times New Roman" w:cs="Times New Roman"/>
          <w:color w:val="000000"/>
          <w:sz w:val="24"/>
          <w:szCs w:val="24"/>
          <w:lang w:eastAsia="zh-CN"/>
        </w:rPr>
        <w:t>。取消煮碱工序后，生产不再使用氢氧化钾，少量氢氧化钠用于生产废水中和处理，大大减少企业运营期环境风险。</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lang w:eastAsia="zh-CN"/>
        </w:rPr>
        <w:t>平面布局变化</w:t>
      </w:r>
      <w:r>
        <w:rPr>
          <w:rFonts w:hint="default" w:ascii="Times New Roman" w:hAnsi="Times New Roman" w:eastAsia="黑体" w:cs="Times New Roman"/>
          <w:sz w:val="24"/>
          <w:szCs w:val="24"/>
        </w:rPr>
        <w:t>情况</w:t>
      </w:r>
    </w:p>
    <w:p>
      <w:pPr>
        <w:spacing w:line="52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lang w:eastAsia="zh-CN"/>
        </w:rPr>
        <w:t>项目实际建设时，为改善</w:t>
      </w:r>
      <w:r>
        <w:rPr>
          <w:rFonts w:hint="default" w:ascii="Times New Roman" w:hAnsi="Times New Roman" w:cs="Times New Roman"/>
          <w:sz w:val="24"/>
          <w:lang w:val="en-US" w:eastAsia="zh-CN"/>
        </w:rPr>
        <w:t>5#车间生产环境，且便于含酸废气负压收集，</w:t>
      </w:r>
      <w:r>
        <w:rPr>
          <w:rFonts w:hint="default" w:ascii="Times New Roman" w:hAnsi="Times New Roman" w:cs="Times New Roman"/>
          <w:sz w:val="24"/>
          <w:lang w:eastAsia="zh-CN"/>
        </w:rPr>
        <w:t>调整车间布局，将含酸废气产污工序单独布置在</w:t>
      </w:r>
      <w:r>
        <w:rPr>
          <w:rFonts w:hint="default" w:ascii="Times New Roman" w:hAnsi="Times New Roman" w:cs="Times New Roman"/>
          <w:sz w:val="24"/>
        </w:rPr>
        <w:t>两座车间</w:t>
      </w:r>
      <w:r>
        <w:rPr>
          <w:rFonts w:hint="default" w:ascii="Times New Roman" w:hAnsi="Times New Roman" w:cs="Times New Roman"/>
          <w:sz w:val="24"/>
          <w:lang w:eastAsia="zh-CN"/>
        </w:rPr>
        <w:t>外</w:t>
      </w:r>
      <w:r>
        <w:rPr>
          <w:rFonts w:hint="default" w:ascii="Times New Roman" w:hAnsi="Times New Roman" w:cs="Times New Roman"/>
          <w:sz w:val="24"/>
        </w:rPr>
        <w:t>北侧的提纯车间</w:t>
      </w:r>
      <w:r>
        <w:rPr>
          <w:rFonts w:hint="default" w:ascii="Times New Roman" w:hAnsi="Times New Roman" w:cs="Times New Roman"/>
          <w:sz w:val="24"/>
          <w:lang w:eastAsia="zh-CN"/>
        </w:rPr>
        <w:t>。</w:t>
      </w:r>
      <w:r>
        <w:rPr>
          <w:rFonts w:hint="default" w:ascii="Times New Roman" w:hAnsi="Times New Roman" w:cs="Times New Roman"/>
          <w:sz w:val="24"/>
        </w:rPr>
        <w:t>5#车间南半侧布置混料、制棒等前道工序，北半侧布置摇床、筛分选型等后处理工序；7#车间</w:t>
      </w:r>
      <w:r>
        <w:rPr>
          <w:rFonts w:hint="default" w:ascii="Times New Roman" w:hAnsi="Times New Roman" w:cs="Times New Roman"/>
          <w:sz w:val="24"/>
          <w:lang w:eastAsia="zh-CN"/>
        </w:rPr>
        <w:t>西</w:t>
      </w:r>
      <w:r>
        <w:rPr>
          <w:rFonts w:hint="default" w:ascii="Times New Roman" w:hAnsi="Times New Roman" w:cs="Times New Roman"/>
          <w:sz w:val="24"/>
        </w:rPr>
        <w:t>半侧布置压机合成工序，北侧提纯车间布置</w:t>
      </w:r>
      <w:r>
        <w:rPr>
          <w:rFonts w:hint="default" w:ascii="Times New Roman" w:hAnsi="Times New Roman" w:cs="Times New Roman"/>
          <w:sz w:val="24"/>
          <w:lang w:eastAsia="zh-CN"/>
        </w:rPr>
        <w:t>泡料、泡酸、</w:t>
      </w:r>
      <w:r>
        <w:rPr>
          <w:rFonts w:hint="default" w:ascii="Times New Roman" w:hAnsi="Times New Roman" w:cs="Times New Roman"/>
          <w:sz w:val="24"/>
        </w:rPr>
        <w:t>煮酸、</w:t>
      </w:r>
      <w:r>
        <w:rPr>
          <w:rFonts w:hint="default" w:ascii="Times New Roman" w:hAnsi="Times New Roman" w:cs="Times New Roman"/>
          <w:sz w:val="24"/>
          <w:lang w:eastAsia="zh-CN"/>
        </w:rPr>
        <w:t>洗酸</w:t>
      </w:r>
      <w:r>
        <w:rPr>
          <w:rFonts w:hint="default" w:ascii="Times New Roman" w:hAnsi="Times New Roman" w:cs="Times New Roman"/>
          <w:sz w:val="24"/>
        </w:rPr>
        <w:t>等提纯除杂工序。</w:t>
      </w:r>
      <w:r>
        <w:rPr>
          <w:rFonts w:hint="default" w:ascii="Times New Roman" w:hAnsi="Times New Roman" w:cs="Times New Roman"/>
          <w:sz w:val="24"/>
          <w:lang w:eastAsia="zh-CN"/>
        </w:rPr>
        <w:t>提纯车间密闭且成微负压环境，泡料产生的氨气及煮酸产生的含酸废气密闭负压收集后引入酸雾喷淋塔处理后达标排放。</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企业厂区车间布局合理，满足废气治理设施共用条件。各车间功能分区明确，生产工艺流程衔接合理、布局紧凑，生产区、人流通道分离，车间平面布置合理。</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环保设施变化情况</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项目污染物治理措施变动情况见表3.9-2。</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p>
    <w:p>
      <w:pPr>
        <w:spacing w:line="54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表3.9-2          项目污染治理设施变动情况一览表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701"/>
        <w:gridCol w:w="3601"/>
        <w:gridCol w:w="1637"/>
        <w:gridCol w:w="7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461" w:type="pct"/>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类别</w:t>
            </w:r>
          </w:p>
        </w:tc>
        <w:tc>
          <w:tcPr>
            <w:tcW w:w="998" w:type="pct"/>
            <w:tcBorders>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环评及批复内容</w:t>
            </w:r>
          </w:p>
        </w:tc>
        <w:tc>
          <w:tcPr>
            <w:tcW w:w="2112" w:type="pct"/>
            <w:tcBorders>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实际建设情况</w:t>
            </w:r>
          </w:p>
        </w:tc>
        <w:tc>
          <w:tcPr>
            <w:tcW w:w="960" w:type="pct"/>
            <w:tcBorders>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变动原因</w:t>
            </w:r>
          </w:p>
        </w:tc>
        <w:tc>
          <w:tcPr>
            <w:tcW w:w="466" w:type="pct"/>
            <w:tcBorders>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jc w:val="center"/>
        </w:trPr>
        <w:tc>
          <w:tcPr>
            <w:tcW w:w="461" w:type="pct"/>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废气治理设施</w:t>
            </w:r>
          </w:p>
        </w:tc>
        <w:tc>
          <w:tcPr>
            <w:tcW w:w="998"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酸煮工序</w:t>
            </w:r>
            <w:r>
              <w:rPr>
                <w:rFonts w:hint="default" w:ascii="Times New Roman" w:hAnsi="Times New Roman" w:cs="Times New Roman"/>
                <w:b/>
                <w:bCs/>
                <w:color w:val="000000"/>
                <w:kern w:val="0"/>
                <w:szCs w:val="21"/>
                <w:lang w:eastAsia="zh-CN"/>
              </w:rPr>
              <w:t>：</w:t>
            </w:r>
            <w:r>
              <w:rPr>
                <w:rFonts w:hint="default" w:ascii="Times New Roman" w:hAnsi="Times New Roman" w:cs="Times New Roman"/>
                <w:color w:val="000000"/>
                <w:kern w:val="0"/>
                <w:szCs w:val="21"/>
              </w:rPr>
              <w:t>产生的硫酸雾和NOx经冷凝回收酸液</w:t>
            </w:r>
            <w:r>
              <w:rPr>
                <w:rFonts w:hint="default" w:ascii="Times New Roman" w:hAnsi="Times New Roman" w:cs="Times New Roman"/>
                <w:color w:val="000000"/>
                <w:kern w:val="0"/>
                <w:szCs w:val="21"/>
                <w:lang w:eastAsia="zh-CN"/>
              </w:rPr>
              <w:t>后，含酸尾气进入</w:t>
            </w:r>
            <w:r>
              <w:rPr>
                <w:rFonts w:hint="default" w:ascii="Times New Roman" w:hAnsi="Times New Roman" w:cs="Times New Roman"/>
                <w:color w:val="000000"/>
                <w:kern w:val="0"/>
                <w:szCs w:val="21"/>
              </w:rPr>
              <w:t>喷淋塔中和处理，随后经15m高的排气筒外排。</w:t>
            </w:r>
          </w:p>
          <w:p>
            <w:pPr>
              <w:spacing w:line="400" w:lineRule="exact"/>
              <w:jc w:val="center"/>
              <w:rPr>
                <w:rFonts w:hint="default" w:ascii="Times New Roman" w:hAnsi="Times New Roman" w:cs="Times New Roman"/>
                <w:color w:val="000000"/>
                <w:kern w:val="0"/>
                <w:szCs w:val="21"/>
              </w:rPr>
            </w:pPr>
          </w:p>
        </w:tc>
        <w:tc>
          <w:tcPr>
            <w:tcW w:w="2112" w:type="pct"/>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压棒</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压棒工序操作平台四周少量起尘，起尘量较小，每台压机配套水吸收设施处理</w:t>
            </w:r>
            <w:r>
              <w:rPr>
                <w:rFonts w:hint="default" w:ascii="Times New Roman" w:hAnsi="Times New Roman" w:cs="Times New Roman"/>
                <w:color w:val="000000"/>
                <w:kern w:val="0"/>
                <w:szCs w:val="21"/>
              </w:rPr>
              <w:t>；</w:t>
            </w:r>
          </w:p>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浸泡</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rPr>
              <w:t>物料</w:t>
            </w:r>
            <w:r>
              <w:rPr>
                <w:rFonts w:hint="default" w:ascii="Times New Roman" w:hAnsi="Times New Roman" w:cs="Times New Roman"/>
                <w:color w:val="000000"/>
                <w:kern w:val="0"/>
                <w:szCs w:val="21"/>
                <w:lang w:eastAsia="zh-CN"/>
              </w:rPr>
              <w:t>在触媒作用下</w:t>
            </w:r>
            <w:r>
              <w:rPr>
                <w:rFonts w:hint="default" w:ascii="Times New Roman" w:hAnsi="Times New Roman" w:cs="Times New Roman"/>
                <w:color w:val="000000"/>
                <w:kern w:val="0"/>
                <w:szCs w:val="21"/>
              </w:rPr>
              <w:t>遇水分解</w:t>
            </w:r>
            <w:r>
              <w:rPr>
                <w:rFonts w:hint="default" w:ascii="Times New Roman" w:hAnsi="Times New Roman" w:cs="Times New Roman"/>
                <w:color w:val="000000"/>
                <w:kern w:val="0"/>
                <w:szCs w:val="21"/>
                <w:lang w:eastAsia="zh-CN"/>
              </w:rPr>
              <w:t>产生</w:t>
            </w:r>
            <w:r>
              <w:rPr>
                <w:rFonts w:hint="default" w:ascii="Times New Roman" w:hAnsi="Times New Roman" w:cs="Times New Roman"/>
                <w:color w:val="000000"/>
                <w:kern w:val="0"/>
                <w:szCs w:val="21"/>
              </w:rPr>
              <w:t>氨</w:t>
            </w:r>
            <w:r>
              <w:rPr>
                <w:rFonts w:hint="default" w:ascii="Times New Roman" w:hAnsi="Times New Roman" w:cs="Times New Roman"/>
                <w:color w:val="000000"/>
                <w:kern w:val="0"/>
                <w:szCs w:val="21"/>
                <w:lang w:eastAsia="zh-CN"/>
              </w:rPr>
              <w:t>气</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氨气又极易溶于水，因此浸泡工序产生的氨气经水吸收后少量外逸，浸泡工序密闭，微负压收集后</w:t>
            </w:r>
            <w:r>
              <w:rPr>
                <w:rFonts w:hint="default" w:ascii="Times New Roman" w:hAnsi="Times New Roman" w:cs="Times New Roman"/>
                <w:color w:val="000000"/>
                <w:kern w:val="0"/>
                <w:szCs w:val="21"/>
              </w:rPr>
              <w:t>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p>
          <w:p>
            <w:pPr>
              <w:adjustRightInd w:val="0"/>
              <w:snapToGrid w:val="0"/>
              <w:spacing w:line="400" w:lineRule="exac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eastAsia="zh-CN"/>
              </w:rPr>
              <w:t>泡酸</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泡酸工序使用煮酸工序更换的废酸，基本不再挥发酸雾，泡酸工序密闭，少量挥发的含酸废气</w:t>
            </w:r>
            <w:r>
              <w:rPr>
                <w:rFonts w:hint="default" w:ascii="Times New Roman" w:hAnsi="Times New Roman" w:cs="Times New Roman"/>
                <w:color w:val="000000"/>
                <w:kern w:val="0"/>
                <w:szCs w:val="21"/>
              </w:rPr>
              <w:t>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p>
          <w:p>
            <w:pPr>
              <w:adjustRightInd w:val="0"/>
              <w:snapToGrid w:val="0"/>
              <w:spacing w:line="400" w:lineRule="exact"/>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lang w:eastAsia="zh-CN"/>
              </w:rPr>
              <w:t>煮酸</w:t>
            </w:r>
            <w:r>
              <w:rPr>
                <w:rFonts w:hint="default" w:ascii="Times New Roman" w:hAnsi="Times New Roman" w:cs="Times New Roman"/>
                <w:b/>
                <w:color w:val="000000"/>
                <w:kern w:val="0"/>
                <w:szCs w:val="21"/>
              </w:rPr>
              <w:t>工序：</w:t>
            </w:r>
            <w:r>
              <w:rPr>
                <w:rFonts w:hint="default" w:ascii="Times New Roman" w:hAnsi="Times New Roman" w:cs="Times New Roman"/>
                <w:color w:val="000000"/>
                <w:kern w:val="0"/>
                <w:szCs w:val="21"/>
                <w:lang w:eastAsia="zh-CN"/>
              </w:rPr>
              <w:t>煮酸工序密闭，</w:t>
            </w:r>
            <w:r>
              <w:rPr>
                <w:rFonts w:hint="default" w:ascii="Times New Roman" w:hAnsi="Times New Roman" w:cs="Times New Roman"/>
                <w:color w:val="000000"/>
                <w:kern w:val="0"/>
                <w:szCs w:val="21"/>
              </w:rPr>
              <w:t>产生的硫酸雾和NOx经冷凝回收酸液，含酸尾气经管道引至</w:t>
            </w:r>
            <w:r>
              <w:rPr>
                <w:rFonts w:hint="default" w:ascii="Times New Roman" w:hAnsi="Times New Roman" w:cs="Times New Roman"/>
                <w:color w:val="000000"/>
                <w:kern w:val="0"/>
                <w:szCs w:val="21"/>
                <w:lang w:eastAsia="zh-CN"/>
              </w:rPr>
              <w:t>酸雾</w:t>
            </w:r>
            <w:r>
              <w:rPr>
                <w:rFonts w:hint="default" w:ascii="Times New Roman" w:hAnsi="Times New Roman" w:cs="Times New Roman"/>
                <w:color w:val="000000"/>
                <w:kern w:val="0"/>
                <w:szCs w:val="21"/>
              </w:rPr>
              <w:t>喷淋塔处理后经15m高排气筒排放</w:t>
            </w:r>
            <w:r>
              <w:rPr>
                <w:rFonts w:hint="default" w:ascii="Times New Roman" w:hAnsi="Times New Roman" w:cs="Times New Roman"/>
                <w:color w:val="000000"/>
                <w:kern w:val="0"/>
                <w:szCs w:val="21"/>
                <w:lang w:eastAsia="zh-CN"/>
              </w:rPr>
              <w:t>。</w:t>
            </w:r>
          </w:p>
        </w:tc>
        <w:tc>
          <w:tcPr>
            <w:tcW w:w="960" w:type="pct"/>
            <w:tcBorders>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减少项目无组织粉尘排放；环评时未考虑浸泡工序产生氨气；泡酸工序替代煮碱工序；减少项目氨气排放对周围环境的影响，提高项目含酸废气收集效率及处理效率。</w:t>
            </w:r>
          </w:p>
        </w:tc>
        <w:tc>
          <w:tcPr>
            <w:tcW w:w="466" w:type="pct"/>
            <w:tcBorders>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461" w:type="pct"/>
            <w:vMerge w:val="restart"/>
            <w:vAlign w:val="center"/>
          </w:tcPr>
          <w:p>
            <w:pPr>
              <w:pStyle w:val="20"/>
              <w:spacing w:before="0" w:line="40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固体废物</w:t>
            </w:r>
            <w:r>
              <w:rPr>
                <w:rFonts w:hint="default" w:ascii="Times New Roman" w:hAnsi="Times New Roman" w:cs="Times New Roman"/>
                <w:color w:val="000000"/>
                <w:sz w:val="21"/>
                <w:szCs w:val="21"/>
                <w:lang w:eastAsia="zh-CN"/>
              </w:rPr>
              <w:t>治理设施</w:t>
            </w:r>
          </w:p>
        </w:tc>
        <w:tc>
          <w:tcPr>
            <w:tcW w:w="998" w:type="pct"/>
            <w:tcBorders>
              <w:bottom w:val="single" w:color="auto" w:sz="4" w:space="0"/>
              <w:right w:val="single" w:color="auto" w:sz="4" w:space="0"/>
            </w:tcBorders>
            <w:vAlign w:val="center"/>
          </w:tcPr>
          <w:p>
            <w:pPr>
              <w:spacing w:line="400" w:lineRule="exact"/>
              <w:ind w:right="147"/>
              <w:jc w:val="center"/>
              <w:rPr>
                <w:rFonts w:hint="default" w:ascii="Times New Roman" w:hAnsi="Times New Roman" w:eastAsia="宋体" w:cs="Times New Roman"/>
                <w:color w:val="000000"/>
                <w:lang w:eastAsia="zh-CN" w:bidi="he-IL"/>
              </w:rPr>
            </w:pPr>
            <w:r>
              <w:rPr>
                <w:rFonts w:hint="default" w:ascii="Times New Roman" w:hAnsi="Times New Roman" w:cs="Times New Roman"/>
                <w:color w:val="000000"/>
                <w:lang w:eastAsia="zh-CN" w:bidi="he-IL"/>
              </w:rPr>
              <w:t>一般暂存间：</w:t>
            </w:r>
            <w:r>
              <w:rPr>
                <w:rFonts w:hint="default" w:ascii="Times New Roman" w:hAnsi="Times New Roman" w:eastAsia="宋体" w:cs="Times New Roman"/>
                <w:szCs w:val="21"/>
              </w:rPr>
              <w:t>车间划分固废暂存区，面积20m</w:t>
            </w:r>
            <w:r>
              <w:rPr>
                <w:rFonts w:hint="default" w:ascii="Times New Roman" w:hAnsi="Times New Roman" w:eastAsia="宋体" w:cs="Times New Roman"/>
                <w:szCs w:val="21"/>
                <w:vertAlign w:val="superscript"/>
              </w:rPr>
              <w:t>2</w:t>
            </w:r>
          </w:p>
        </w:tc>
        <w:tc>
          <w:tcPr>
            <w:tcW w:w="21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bidi="he-IL"/>
              </w:rPr>
              <w:t>一般暂存间：</w:t>
            </w:r>
            <w:r>
              <w:rPr>
                <w:rFonts w:hint="default" w:ascii="Times New Roman" w:hAnsi="Times New Roman" w:cs="Times New Roman" w:eastAsiaTheme="minorEastAsia"/>
                <w:color w:val="auto"/>
                <w:szCs w:val="21"/>
                <w:highlight w:val="none"/>
              </w:rPr>
              <w:t>5#车间北侧建设固废暂存区1处，面积180</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2</w:t>
            </w:r>
            <w:r>
              <w:rPr>
                <w:rFonts w:hint="default" w:ascii="Times New Roman" w:hAnsi="Times New Roman" w:cs="Times New Roman" w:eastAsiaTheme="minorEastAsia"/>
                <w:color w:val="auto"/>
                <w:szCs w:val="21"/>
                <w:highlight w:val="none"/>
                <w:lang w:val="en-US" w:eastAsia="zh-CN"/>
              </w:rPr>
              <w:t>。</w:t>
            </w:r>
          </w:p>
        </w:tc>
        <w:tc>
          <w:tcPr>
            <w:tcW w:w="960" w:type="pct"/>
            <w:tcBorders>
              <w:top w:val="single" w:color="auto" w:sz="4" w:space="0"/>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一般固废种类较多，分区分类暂存需要场地较大</w:t>
            </w:r>
          </w:p>
        </w:tc>
        <w:tc>
          <w:tcPr>
            <w:tcW w:w="466" w:type="pct"/>
            <w:vMerge w:val="restart"/>
            <w:tcBorders>
              <w:top w:val="single" w:color="auto" w:sz="4" w:space="0"/>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461" w:type="pct"/>
            <w:vMerge w:val="continue"/>
            <w:tcBorders>
              <w:bottom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p>
        </w:tc>
        <w:tc>
          <w:tcPr>
            <w:tcW w:w="998" w:type="pct"/>
            <w:tcBorders>
              <w:top w:val="single" w:color="auto" w:sz="4" w:space="0"/>
              <w:bottom w:val="single" w:color="auto" w:sz="4" w:space="0"/>
              <w:right w:val="single" w:color="auto" w:sz="4" w:space="0"/>
            </w:tcBorders>
            <w:vAlign w:val="center"/>
          </w:tcPr>
          <w:p>
            <w:pPr>
              <w:spacing w:line="400" w:lineRule="exact"/>
              <w:ind w:right="147"/>
              <w:jc w:val="center"/>
              <w:rPr>
                <w:rFonts w:hint="default" w:ascii="Times New Roman" w:hAnsi="Times New Roman" w:eastAsia="宋体" w:cs="Times New Roman"/>
                <w:color w:val="000000"/>
                <w:lang w:eastAsia="zh-CN" w:bidi="he-IL"/>
              </w:rPr>
            </w:pPr>
            <w:r>
              <w:rPr>
                <w:rFonts w:hint="default" w:ascii="Times New Roman" w:hAnsi="Times New Roman" w:cs="Times New Roman"/>
                <w:color w:val="000000"/>
                <w:lang w:eastAsia="zh-CN" w:bidi="he-IL"/>
              </w:rPr>
              <w:t>危废暂存间：</w:t>
            </w:r>
            <w:r>
              <w:rPr>
                <w:rFonts w:hint="default" w:ascii="Times New Roman" w:hAnsi="Times New Roman" w:eastAsia="宋体" w:cs="Times New Roman"/>
                <w:szCs w:val="21"/>
              </w:rPr>
              <w:t>暂存危废暂存间240m</w:t>
            </w:r>
            <w:r>
              <w:rPr>
                <w:rFonts w:hint="default" w:ascii="Times New Roman" w:hAnsi="Times New Roman" w:eastAsia="宋体" w:cs="Times New Roman"/>
                <w:szCs w:val="21"/>
                <w:vertAlign w:val="superscript"/>
              </w:rPr>
              <w:t>2</w:t>
            </w:r>
          </w:p>
        </w:tc>
        <w:tc>
          <w:tcPr>
            <w:tcW w:w="21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highlight w:val="none"/>
                <w:vertAlign w:val="baseline"/>
              </w:rPr>
            </w:pPr>
            <w:r>
              <w:rPr>
                <w:rFonts w:hint="default" w:ascii="Times New Roman" w:hAnsi="Times New Roman" w:cs="Times New Roman"/>
                <w:color w:val="auto"/>
                <w:highlight w:val="none"/>
                <w:lang w:eastAsia="zh-CN" w:bidi="he-IL"/>
              </w:rPr>
              <w:t>危废暂存间：</w:t>
            </w:r>
            <w:r>
              <w:rPr>
                <w:rFonts w:hint="default" w:ascii="Times New Roman" w:hAnsi="Times New Roman" w:eastAsia="宋体" w:cs="Times New Roman"/>
                <w:color w:val="auto"/>
                <w:szCs w:val="21"/>
                <w:highlight w:val="none"/>
              </w:rPr>
              <w:t>危废暂存间60</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2</w:t>
            </w:r>
            <w:r>
              <w:rPr>
                <w:rFonts w:hint="default" w:ascii="Times New Roman" w:hAnsi="Times New Roman" w:cs="Times New Roman" w:eastAsiaTheme="minorEastAsia"/>
                <w:color w:val="auto"/>
                <w:szCs w:val="21"/>
                <w:highlight w:val="none"/>
                <w:vertAlign w:val="baseline"/>
                <w:lang w:val="en-US" w:eastAsia="zh-CN"/>
              </w:rPr>
              <w:t>。</w:t>
            </w:r>
          </w:p>
        </w:tc>
        <w:tc>
          <w:tcPr>
            <w:tcW w:w="960" w:type="pct"/>
            <w:tcBorders>
              <w:top w:val="single" w:color="auto" w:sz="4" w:space="0"/>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危废暂存种类减少且产生量减少，实际建设面积满足暂存要求，且暂存面积减少便于环境风险管理。</w:t>
            </w:r>
          </w:p>
        </w:tc>
        <w:tc>
          <w:tcPr>
            <w:tcW w:w="466" w:type="pct"/>
            <w:vMerge w:val="continue"/>
            <w:tcBorders>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p>
        </w:tc>
      </w:tr>
    </w:tbl>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lang w:val="en-US" w:eastAsia="zh-CN"/>
        </w:rPr>
        <w:t>10</w:t>
      </w:r>
      <w:r>
        <w:rPr>
          <w:rFonts w:hint="default" w:ascii="Times New Roman" w:hAnsi="Times New Roman" w:eastAsia="黑体" w:cs="Times New Roman"/>
          <w:sz w:val="24"/>
          <w:szCs w:val="24"/>
        </w:rPr>
        <w:t>项目主要变化内容分析</w:t>
      </w:r>
    </w:p>
    <w:p>
      <w:pPr>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依据《中华人民共和国环境影响评价法》和《建设项目环境保护条例》有关规定，建设项目的性质、规模、地点、生产工艺和环境保护措施五个因素中的一项或者一项以上发生重大变动，且可能导致环境影响显著变化（特别是不利影响显著加重）的，界定为重大变动。根据上述原则，中华人民共和国生态环境部发布实施了《关于印发环评管理中部分行业建设项目重大变动清单的通知》（环办</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2015</w:t>
      </w:r>
      <w:r>
        <w:rPr>
          <w:rFonts w:hint="default" w:ascii="Times New Roman" w:hAnsi="Times New Roman" w:cs="Times New Roman"/>
          <w:sz w:val="24"/>
          <w:szCs w:val="24"/>
          <w:lang w:eastAsia="zh-CN"/>
        </w:rPr>
        <w:t>〕</w:t>
      </w:r>
      <w:r>
        <w:rPr>
          <w:rFonts w:hint="default" w:ascii="Times New Roman" w:hAnsi="Times New Roman" w:cs="Times New Roman"/>
          <w:sz w:val="24"/>
          <w:szCs w:val="24"/>
        </w:rPr>
        <w:t>52号）、《关于印发制浆造纸等十四个行业建设项目重大变动清单的通知》（环办环评</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2018</w:t>
      </w:r>
      <w:r>
        <w:rPr>
          <w:rFonts w:hint="default" w:ascii="Times New Roman" w:hAnsi="Times New Roman" w:cs="Times New Roman"/>
          <w:sz w:val="24"/>
          <w:szCs w:val="24"/>
          <w:lang w:eastAsia="zh-CN"/>
        </w:rPr>
        <w:t>〕</w:t>
      </w:r>
      <w:r>
        <w:rPr>
          <w:rFonts w:hint="default" w:ascii="Times New Roman" w:hAnsi="Times New Roman" w:cs="Times New Roman"/>
          <w:sz w:val="24"/>
          <w:szCs w:val="24"/>
        </w:rPr>
        <w:t>6号）、《关于印发淀粉等五个行业建设项目重大变动清单的通知》（环办环评函</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2019</w:t>
      </w:r>
      <w:r>
        <w:rPr>
          <w:rFonts w:hint="default" w:ascii="Times New Roman" w:hAnsi="Times New Roman" w:cs="Times New Roman"/>
          <w:sz w:val="24"/>
          <w:szCs w:val="24"/>
          <w:lang w:eastAsia="zh-CN"/>
        </w:rPr>
        <w:t>〕</w:t>
      </w:r>
      <w:r>
        <w:rPr>
          <w:rFonts w:hint="default" w:ascii="Times New Roman" w:hAnsi="Times New Roman" w:cs="Times New Roman"/>
          <w:sz w:val="24"/>
          <w:szCs w:val="24"/>
        </w:rPr>
        <w:t>934号），涉及到水电、水利、火电、煤炭、油气管道、铁路、高速公路、港口、石油炼制与石油化工、制浆造纸、制药、农药、纺织印染、铝冶炼（不包括再生铝行业）等二十八个行业建设项目重大变动清单，本项目不属于上述二十八个行业建设项目。</w:t>
      </w:r>
    </w:p>
    <w:p>
      <w:pPr>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2020年12月13日国家生态环境部办公厅印发《污染影响类建设项目重大变动清单（试行）》（环办环评函</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2020</w:t>
      </w:r>
      <w:r>
        <w:rPr>
          <w:rFonts w:hint="default" w:ascii="Times New Roman" w:hAnsi="Times New Roman" w:cs="Times New Roman"/>
          <w:sz w:val="24"/>
          <w:szCs w:val="24"/>
          <w:lang w:eastAsia="zh-CN"/>
        </w:rPr>
        <w:t>〕</w:t>
      </w:r>
      <w:r>
        <w:rPr>
          <w:rFonts w:hint="default" w:ascii="Times New Roman" w:hAnsi="Times New Roman" w:cs="Times New Roman"/>
          <w:sz w:val="24"/>
          <w:szCs w:val="24"/>
        </w:rPr>
        <w:t>688号），适用于污染影响类建设项目环境影响评价管理，未发布行业建设项目重大变动清单的，可按照其执行，故本项目是否属于“重大变动”判定结果见下表。</w:t>
      </w:r>
    </w:p>
    <w:p>
      <w:pPr>
        <w:spacing w:line="520" w:lineRule="exact"/>
        <w:ind w:firstLine="360" w:firstLineChars="15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表3.6-1               项目重大变动清单一览表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82"/>
        <w:gridCol w:w="4468"/>
        <w:gridCol w:w="187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类别</w:t>
            </w:r>
          </w:p>
        </w:tc>
        <w:tc>
          <w:tcPr>
            <w:tcW w:w="2622"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条文规定</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本项目变动情况</w:t>
            </w:r>
          </w:p>
        </w:tc>
        <w:tc>
          <w:tcPr>
            <w:tcW w:w="531" w:type="pct"/>
            <w:noWrap w:val="0"/>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是否属于重大变</w:t>
            </w:r>
            <w:r>
              <w:rPr>
                <w:rFonts w:hint="default" w:ascii="Times New Roman" w:hAnsi="Times New Roman" w:cs="Times New Roman"/>
                <w:szCs w:val="21"/>
                <w:lang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性质</w:t>
            </w:r>
          </w:p>
        </w:tc>
        <w:tc>
          <w:tcPr>
            <w:tcW w:w="2622"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建设项目开发、使用功能发生变化的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规模</w:t>
            </w:r>
          </w:p>
        </w:tc>
        <w:tc>
          <w:tcPr>
            <w:tcW w:w="2622"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生产、处置或储存能力增大30%以上的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生产、处置或储存能力增大，导致废水第一类污染物排放量增加的</w:t>
            </w:r>
            <w:r>
              <w:rPr>
                <w:rFonts w:hint="default" w:ascii="Times New Roman" w:hAnsi="Times New Roman" w:cs="Times New Roman"/>
                <w:szCs w:val="21"/>
                <w:lang w:eastAsia="zh-CN"/>
              </w:rPr>
              <w:t>。</w:t>
            </w:r>
          </w:p>
        </w:tc>
        <w:tc>
          <w:tcPr>
            <w:tcW w:w="1098"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地点</w:t>
            </w: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重新选址；在原厂址附近调整（包括总平面布置变化）导致环境防护距离范围变化且新增敏感点的。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6</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生产工艺</w:t>
            </w: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新增产品品种或生产工艺（含主要生产装置、设备及配套设施）、主要原辅材料、燃料变化，导致以下情形之一：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（1）新增排放污染物种类的（毒性、挥发性降低的除外）；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（2）位于环境质量不达标区的建设项目相应污染物排放量增加的；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（3）废水第一类污染物排放量增加的；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（4）其他污染物排放量增加10%及以上的。</w:t>
            </w:r>
          </w:p>
        </w:tc>
        <w:tc>
          <w:tcPr>
            <w:tcW w:w="1098"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eastAsia="zh-CN"/>
              </w:rPr>
              <w:t>企业泡酸工序替代煮碱工序，泡酸使用煮酸工序废酸，基本不再挥发酸雾，未导致上述</w:t>
            </w:r>
            <w:r>
              <w:rPr>
                <w:rFonts w:hint="default" w:ascii="Times New Roman" w:hAnsi="Times New Roman" w:cs="Times New Roman"/>
                <w:szCs w:val="21"/>
                <w:lang w:val="en-US" w:eastAsia="zh-CN"/>
              </w:rPr>
              <w:t>4种情形。</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物料运输、装卸、贮存方式变化，导致大气污染物无组织排放量增加10%及以上的。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8</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环境保护措施</w:t>
            </w: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废气、废水污染防治措施变化，导致第6条中所列情形之一（废气无组织排放改为有组织排放、污染防治措施强化或改进的除外）或大气污染物无组织排放量增加10%及以上的。</w:t>
            </w:r>
          </w:p>
        </w:tc>
        <w:tc>
          <w:tcPr>
            <w:tcW w:w="1098"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压棒工序增加颗粒物水吸收设施，减少颗粒物无组织排放；环评时浸泡工序产污遗漏，浸泡工序产生的氨负压收集后并入酸雾喷淋塔处理后经15m高排气筒排放。新增泡酸工序废气负压收集后并入酸雾喷淋塔处理。</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9</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新增废水直接排放口；废水由间接排放改为直接排放；废水直接排放口位置变化，导致不利环境影响加重的。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10</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新增废气主要排放口（废气无组织排放改为有组织排放的除外）；主要排放口排气筒高度降低10%及以上的。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11</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噪声、土壤或地下水污染防治措施变化，导致不利环境影响加重的。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12</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固体废物利用处置方式由委托外单位利用处置改为自行利用处置的（自行利用处置设施单独开展环境影响评价的除外）；固体废物自行处置方式变化，导致不利环境影响加重的。</w:t>
            </w:r>
          </w:p>
        </w:tc>
        <w:tc>
          <w:tcPr>
            <w:tcW w:w="1098"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13</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62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事故废水暂存能力或拦截设施变化，导致环境风险防范能力弱化或降低的。</w:t>
            </w:r>
          </w:p>
        </w:tc>
        <w:tc>
          <w:tcPr>
            <w:tcW w:w="109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bl>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对照《污染影响类建设项目重大变动清单（试行）》（环办环评函[2020]688号），</w:t>
      </w:r>
      <w:r>
        <w:rPr>
          <w:rFonts w:hint="default" w:ascii="Times New Roman" w:hAnsi="Times New Roman" w:cs="Times New Roman"/>
          <w:sz w:val="24"/>
          <w:szCs w:val="24"/>
        </w:rPr>
        <w:t>项目无重大变动情况。</w:t>
      </w:r>
    </w:p>
    <w:p>
      <w:pPr>
        <w:spacing w:line="520" w:lineRule="exact"/>
        <w:rPr>
          <w:rFonts w:hint="default" w:ascii="Times New Roman" w:hAnsi="Times New Roman" w:cs="Times New Roman"/>
          <w:sz w:val="24"/>
          <w:szCs w:val="24"/>
        </w:rPr>
      </w:pPr>
      <w:r>
        <w:rPr>
          <w:rFonts w:hint="default" w:ascii="Times New Roman" w:hAnsi="Times New Roman" w:cs="Times New Roman"/>
          <w:color w:val="000000"/>
          <w:sz w:val="24"/>
          <w:szCs w:val="24"/>
        </w:rPr>
        <w:br w:type="page"/>
      </w:r>
      <w:bookmarkStart w:id="16" w:name="_Toc9988"/>
      <w:bookmarkStart w:id="17" w:name="_Toc496728351"/>
      <w:r>
        <w:rPr>
          <w:rFonts w:hint="default" w:ascii="Times New Roman" w:hAnsi="Times New Roman" w:eastAsia="黑体" w:cs="Times New Roman"/>
          <w:color w:val="000000"/>
          <w:sz w:val="28"/>
          <w:szCs w:val="28"/>
        </w:rPr>
        <w:t>4、环境保护设施</w:t>
      </w:r>
      <w:bookmarkEnd w:id="16"/>
      <w:bookmarkEnd w:id="17"/>
    </w:p>
    <w:p>
      <w:pPr>
        <w:pStyle w:val="5"/>
        <w:keepNext w:val="0"/>
        <w:keepLines w:val="0"/>
        <w:adjustRightInd w:val="0"/>
        <w:snapToGrid w:val="0"/>
        <w:spacing w:line="520" w:lineRule="exact"/>
        <w:rPr>
          <w:rFonts w:hint="default" w:ascii="Times New Roman" w:hAnsi="Times New Roman" w:cs="Times New Roman"/>
          <w:color w:val="000000"/>
          <w:sz w:val="24"/>
          <w:szCs w:val="24"/>
        </w:rPr>
      </w:pPr>
      <w:bookmarkStart w:id="18" w:name="_Toc6975"/>
      <w:r>
        <w:rPr>
          <w:rFonts w:hint="default" w:ascii="Times New Roman" w:hAnsi="Times New Roman" w:cs="Times New Roman"/>
          <w:color w:val="000000"/>
          <w:sz w:val="24"/>
          <w:szCs w:val="24"/>
        </w:rPr>
        <w:t>4.1 污染物治理措施</w:t>
      </w:r>
      <w:bookmarkEnd w:id="18"/>
    </w:p>
    <w:p>
      <w:pPr>
        <w:spacing w:line="52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4.1.1废气</w:t>
      </w:r>
    </w:p>
    <w:p>
      <w:pPr>
        <w:spacing w:line="520" w:lineRule="exact"/>
        <w:ind w:firstLine="480" w:firstLineChars="200"/>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项目压棒工序操作平台四周少量起尘，起尘量较小，每台压机配套水吸收设施处理</w:t>
      </w:r>
      <w:r>
        <w:rPr>
          <w:rFonts w:hint="default" w:ascii="Times New Roman" w:hAnsi="Times New Roman" w:cs="Times New Roman"/>
          <w:color w:val="000000"/>
          <w:sz w:val="24"/>
          <w:szCs w:val="28"/>
        </w:rPr>
        <w:t>；</w:t>
      </w:r>
      <w:r>
        <w:rPr>
          <w:rFonts w:hint="default" w:ascii="Times New Roman" w:hAnsi="Times New Roman" w:cs="Times New Roman"/>
          <w:color w:val="000000"/>
          <w:sz w:val="24"/>
          <w:szCs w:val="28"/>
          <w:lang w:eastAsia="zh-CN"/>
        </w:rPr>
        <w:t>浸泡</w:t>
      </w:r>
      <w:r>
        <w:rPr>
          <w:rFonts w:hint="default" w:ascii="Times New Roman" w:hAnsi="Times New Roman" w:cs="Times New Roman"/>
          <w:color w:val="000000"/>
          <w:sz w:val="24"/>
          <w:szCs w:val="28"/>
        </w:rPr>
        <w:t>工序</w:t>
      </w:r>
      <w:r>
        <w:rPr>
          <w:rFonts w:hint="default" w:ascii="Times New Roman" w:hAnsi="Times New Roman" w:cs="Times New Roman"/>
          <w:color w:val="000000"/>
          <w:sz w:val="24"/>
          <w:szCs w:val="28"/>
          <w:lang w:eastAsia="zh-CN"/>
        </w:rPr>
        <w:t>时</w:t>
      </w:r>
      <w:r>
        <w:rPr>
          <w:rFonts w:hint="default" w:ascii="Times New Roman" w:hAnsi="Times New Roman" w:cs="Times New Roman"/>
          <w:color w:val="000000"/>
          <w:sz w:val="24"/>
          <w:szCs w:val="28"/>
        </w:rPr>
        <w:t>物料</w:t>
      </w:r>
      <w:r>
        <w:rPr>
          <w:rFonts w:hint="default" w:ascii="Times New Roman" w:hAnsi="Times New Roman" w:cs="Times New Roman"/>
          <w:color w:val="000000"/>
          <w:sz w:val="24"/>
          <w:szCs w:val="28"/>
          <w:lang w:eastAsia="zh-CN"/>
        </w:rPr>
        <w:t>在触媒作用下</w:t>
      </w:r>
      <w:r>
        <w:rPr>
          <w:rFonts w:hint="default" w:ascii="Times New Roman" w:hAnsi="Times New Roman" w:cs="Times New Roman"/>
          <w:color w:val="000000"/>
          <w:sz w:val="24"/>
          <w:szCs w:val="28"/>
        </w:rPr>
        <w:t>遇水分解</w:t>
      </w:r>
      <w:r>
        <w:rPr>
          <w:rFonts w:hint="default" w:ascii="Times New Roman" w:hAnsi="Times New Roman" w:cs="Times New Roman"/>
          <w:color w:val="000000"/>
          <w:sz w:val="24"/>
          <w:szCs w:val="28"/>
          <w:lang w:eastAsia="zh-CN"/>
        </w:rPr>
        <w:t>产生</w:t>
      </w:r>
      <w:r>
        <w:rPr>
          <w:rFonts w:hint="default" w:ascii="Times New Roman" w:hAnsi="Times New Roman" w:cs="Times New Roman"/>
          <w:color w:val="000000"/>
          <w:sz w:val="24"/>
          <w:szCs w:val="28"/>
        </w:rPr>
        <w:t>氨</w:t>
      </w:r>
      <w:r>
        <w:rPr>
          <w:rFonts w:hint="default" w:ascii="Times New Roman" w:hAnsi="Times New Roman" w:cs="Times New Roman"/>
          <w:color w:val="000000"/>
          <w:sz w:val="24"/>
          <w:szCs w:val="28"/>
          <w:lang w:eastAsia="zh-CN"/>
        </w:rPr>
        <w:t>气</w:t>
      </w:r>
      <w:r>
        <w:rPr>
          <w:rFonts w:hint="default" w:ascii="Times New Roman" w:hAnsi="Times New Roman" w:cs="Times New Roman"/>
          <w:color w:val="000000"/>
          <w:sz w:val="24"/>
          <w:szCs w:val="28"/>
        </w:rPr>
        <w:t>，</w:t>
      </w:r>
      <w:r>
        <w:rPr>
          <w:rFonts w:hint="default" w:ascii="Times New Roman" w:hAnsi="Times New Roman" w:cs="Times New Roman"/>
          <w:color w:val="000000"/>
          <w:sz w:val="24"/>
          <w:szCs w:val="28"/>
          <w:lang w:eastAsia="zh-CN"/>
        </w:rPr>
        <w:t>氨气又极易溶于水，因此浸泡工序产生的氨气经水吸收后少量外逸，浸泡工序密闭，微负压收集后</w:t>
      </w:r>
      <w:r>
        <w:rPr>
          <w:rFonts w:hint="default" w:ascii="Times New Roman" w:hAnsi="Times New Roman" w:cs="Times New Roman"/>
          <w:color w:val="000000"/>
          <w:sz w:val="24"/>
          <w:szCs w:val="28"/>
        </w:rPr>
        <w:t>经管道引至</w:t>
      </w:r>
      <w:r>
        <w:rPr>
          <w:rFonts w:hint="default"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default" w:ascii="Times New Roman" w:hAnsi="Times New Roman" w:cs="Times New Roman"/>
          <w:color w:val="000000"/>
          <w:sz w:val="24"/>
          <w:szCs w:val="28"/>
          <w:lang w:eastAsia="zh-CN"/>
        </w:rPr>
        <w:t>泡酸工序使用煮酸工序更换的废酸，基本不再挥发酸雾，泡酸工序密闭，少量挥发的含酸废气</w:t>
      </w:r>
      <w:r>
        <w:rPr>
          <w:rFonts w:hint="default" w:ascii="Times New Roman" w:hAnsi="Times New Roman" w:cs="Times New Roman"/>
          <w:color w:val="000000"/>
          <w:sz w:val="24"/>
          <w:szCs w:val="28"/>
        </w:rPr>
        <w:t>经管道引至</w:t>
      </w:r>
      <w:r>
        <w:rPr>
          <w:rFonts w:hint="default"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default" w:ascii="Times New Roman" w:hAnsi="Times New Roman" w:cs="Times New Roman"/>
          <w:color w:val="000000"/>
          <w:sz w:val="24"/>
          <w:szCs w:val="28"/>
          <w:lang w:eastAsia="zh-CN"/>
        </w:rPr>
        <w:t>煮酸工序密闭，</w:t>
      </w:r>
      <w:r>
        <w:rPr>
          <w:rFonts w:hint="default" w:ascii="Times New Roman" w:hAnsi="Times New Roman" w:cs="Times New Roman"/>
          <w:color w:val="000000"/>
          <w:sz w:val="24"/>
          <w:szCs w:val="28"/>
        </w:rPr>
        <w:t>产生的硫酸雾和NOx经冷凝回收酸液，含酸尾气经管道引至</w:t>
      </w:r>
      <w:r>
        <w:rPr>
          <w:rFonts w:hint="default"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default" w:ascii="Times New Roman" w:hAnsi="Times New Roman" w:cs="Times New Roman"/>
          <w:color w:val="000000"/>
          <w:sz w:val="24"/>
          <w:szCs w:val="28"/>
          <w:lang w:eastAsia="zh-CN"/>
        </w:rPr>
        <w:t>。</w:t>
      </w:r>
    </w:p>
    <w:p>
      <w:pPr>
        <w:spacing w:line="520" w:lineRule="exact"/>
        <w:ind w:right="149"/>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4.1.2废水</w:t>
      </w:r>
    </w:p>
    <w:p>
      <w:pPr>
        <w:spacing w:line="520" w:lineRule="exact"/>
        <w:ind w:firstLine="480" w:firstLineChars="200"/>
        <w:rPr>
          <w:rFonts w:hint="default" w:ascii="Times New Roman" w:hAnsi="Times New Roman" w:eastAsia="楷体" w:cs="Times New Roman"/>
          <w:color w:val="000000"/>
          <w:sz w:val="24"/>
          <w:szCs w:val="24"/>
        </w:rPr>
      </w:pPr>
      <w:r>
        <w:rPr>
          <w:rFonts w:hint="default" w:ascii="Times New Roman" w:hAnsi="Times New Roman" w:cs="Times New Roman"/>
          <w:color w:val="000000"/>
          <w:sz w:val="24"/>
          <w:szCs w:val="28"/>
        </w:rPr>
        <w:t>生活污水依托现有工程的化粪池（40m</w:t>
      </w:r>
      <w:r>
        <w:rPr>
          <w:rFonts w:hint="default" w:ascii="Times New Roman" w:hAnsi="Times New Roman" w:cs="Times New Roman"/>
          <w:color w:val="000000"/>
          <w:sz w:val="24"/>
          <w:szCs w:val="28"/>
          <w:vertAlign w:val="superscript"/>
        </w:rPr>
        <w:t>3</w:t>
      </w:r>
      <w:r>
        <w:rPr>
          <w:rFonts w:hint="default" w:ascii="Times New Roman" w:hAnsi="Times New Roman" w:cs="Times New Roman"/>
          <w:color w:val="000000"/>
          <w:sz w:val="24"/>
          <w:szCs w:val="28"/>
        </w:rPr>
        <w:t>）处理后通过市政污水管网接入到信阳市第一污水处理厂深度处理</w:t>
      </w:r>
      <w:r>
        <w:rPr>
          <w:rFonts w:hint="default" w:ascii="Times New Roman" w:hAnsi="Times New Roman" w:cs="Times New Roman"/>
          <w:color w:val="000000"/>
          <w:sz w:val="24"/>
          <w:szCs w:val="28"/>
          <w:lang w:eastAsia="zh-CN"/>
        </w:rPr>
        <w:t>。项目摇床工序及酸雾喷淋塔产生的废水经中和沉淀池处理后回用于摇床工序不外排。</w:t>
      </w:r>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4.1.3 噪声</w:t>
      </w:r>
    </w:p>
    <w:p>
      <w:pPr>
        <w:adjustRightInd w:val="0"/>
        <w:snapToGrid w:val="0"/>
        <w:spacing w:line="520" w:lineRule="exact"/>
        <w:ind w:firstLine="480" w:firstLineChars="200"/>
        <w:outlineLvl w:val="2"/>
        <w:rPr>
          <w:rFonts w:hint="default" w:ascii="Times New Roman" w:hAnsi="Times New Roman" w:eastAsia="楷体" w:cs="Times New Roman"/>
          <w:color w:val="000000"/>
          <w:sz w:val="24"/>
          <w:szCs w:val="24"/>
        </w:rPr>
      </w:pPr>
      <w:r>
        <w:rPr>
          <w:rFonts w:hint="default" w:ascii="Times New Roman" w:hAnsi="Times New Roman" w:cs="Times New Roman"/>
          <w:sz w:val="24"/>
          <w:szCs w:val="24"/>
        </w:rPr>
        <w:t>本项目噪声主要为六面顶压机、粉碎机、球磨机、旋振筛、风机、泵等设备运行产生的噪声，噪声源强为60~85dB（A），</w:t>
      </w:r>
      <w:r>
        <w:rPr>
          <w:rFonts w:hint="default" w:ascii="Times New Roman" w:hAnsi="Times New Roman" w:cs="Times New Roman"/>
          <w:sz w:val="24"/>
        </w:rPr>
        <w:t>经采取基础减振、厂房隔声、安装消音器等措施治理后，</w:t>
      </w:r>
      <w:r>
        <w:rPr>
          <w:rFonts w:hint="default" w:ascii="Times New Roman" w:hAnsi="Times New Roman" w:cs="Times New Roman"/>
          <w:sz w:val="24"/>
          <w:lang w:eastAsia="zh-CN"/>
        </w:rPr>
        <w:t>根据监测报告，</w:t>
      </w:r>
      <w:r>
        <w:rPr>
          <w:rFonts w:hint="default" w:ascii="Times New Roman" w:hAnsi="Times New Roman" w:cs="Times New Roman"/>
          <w:sz w:val="24"/>
          <w:szCs w:val="28"/>
        </w:rPr>
        <w:t>各厂界噪声均能满足《工业企业厂界环境噪声排放标准》（GB12348-2008）3类标准要求</w:t>
      </w:r>
      <w:r>
        <w:rPr>
          <w:rFonts w:hint="default" w:ascii="Times New Roman" w:hAnsi="Times New Roman" w:cs="Times New Roman"/>
          <w:sz w:val="24"/>
          <w:szCs w:val="24"/>
        </w:rPr>
        <w:t>。</w:t>
      </w:r>
    </w:p>
    <w:p>
      <w:pPr>
        <w:spacing w:line="52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4.1.4固体废物</w:t>
      </w:r>
      <w:bookmarkStart w:id="19" w:name="_Toc346464050"/>
      <w:bookmarkStart w:id="20" w:name="_Toc25451"/>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本项目固废主要为合成后拆分产生的叶腊石块、导电钢圈、碳管、白云石，摇床产生的废渣和中和池池底沉淀的污泥；生产办公人员产生的生活垃圾等。危险废物主要为废酸桶及废润滑油。</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一般固废暂存间面积</w:t>
      </w:r>
      <w:r>
        <w:rPr>
          <w:rFonts w:hint="default" w:ascii="Times New Roman" w:hAnsi="Times New Roman" w:cs="Times New Roman"/>
          <w:sz w:val="24"/>
          <w:szCs w:val="24"/>
          <w:lang w:val="en-US" w:eastAsia="zh-CN"/>
        </w:rPr>
        <w:t>180m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vertAlign w:val="baseline"/>
          <w:lang w:val="en-US" w:eastAsia="zh-CN"/>
        </w:rPr>
        <w:t>，分区分类暂存，</w:t>
      </w:r>
      <w:r>
        <w:rPr>
          <w:rFonts w:hint="default" w:ascii="Times New Roman" w:hAnsi="Times New Roman" w:eastAsia="宋体" w:cs="Times New Roman"/>
          <w:sz w:val="24"/>
          <w:szCs w:val="24"/>
        </w:rPr>
        <w:t>叶腊、废白云石、废碳管、废钢片、废六方氮化硼</w:t>
      </w:r>
      <w:r>
        <w:rPr>
          <w:rFonts w:hint="default" w:ascii="Times New Roman" w:hAnsi="Times New Roman" w:cs="Times New Roman"/>
          <w:sz w:val="24"/>
          <w:szCs w:val="24"/>
          <w:lang w:val="en-US" w:eastAsia="zh-CN"/>
        </w:rPr>
        <w:t>及沉淀的污泥</w:t>
      </w:r>
      <w:r>
        <w:rPr>
          <w:rFonts w:hint="default" w:ascii="Times New Roman" w:hAnsi="Times New Roman" w:eastAsia="宋体" w:cs="Times New Roman"/>
          <w:sz w:val="24"/>
          <w:szCs w:val="24"/>
        </w:rPr>
        <w:t>交由物资回收部门统一处理</w:t>
      </w:r>
      <w:r>
        <w:rPr>
          <w:rFonts w:hint="default" w:ascii="Times New Roman" w:hAnsi="Times New Roman" w:eastAsia="宋体" w:cs="Times New Roman"/>
          <w:sz w:val="24"/>
          <w:szCs w:val="24"/>
          <w:lang w:eastAsia="zh-CN"/>
        </w:rPr>
        <w:t>，满足《一般工业固体废物贮存和填埋污染控制标准》（</w:t>
      </w:r>
      <w:r>
        <w:rPr>
          <w:rFonts w:hint="default" w:ascii="Times New Roman" w:hAnsi="Times New Roman" w:eastAsia="宋体" w:cs="Times New Roman"/>
          <w:sz w:val="24"/>
          <w:szCs w:val="24"/>
          <w:lang w:val="en-US" w:eastAsia="zh-CN"/>
        </w:rPr>
        <w:t>GB18599-2020</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危废暂存间面积</w:t>
      </w:r>
      <w:r>
        <w:rPr>
          <w:rFonts w:hint="default" w:ascii="Times New Roman" w:hAnsi="Times New Roman" w:cs="Times New Roman"/>
          <w:sz w:val="24"/>
          <w:szCs w:val="24"/>
          <w:lang w:val="en-US" w:eastAsia="zh-CN"/>
        </w:rPr>
        <w:t>60m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vertAlign w:val="baseline"/>
          <w:lang w:val="en-US" w:eastAsia="zh-CN"/>
        </w:rPr>
        <w:t>，</w:t>
      </w:r>
      <w:r>
        <w:rPr>
          <w:rFonts w:hint="default" w:ascii="Times New Roman" w:hAnsi="Times New Roman" w:eastAsia="宋体" w:cs="Times New Roman"/>
          <w:sz w:val="24"/>
          <w:szCs w:val="24"/>
        </w:rPr>
        <w:t>废酸瓶交由资质单位处</w:t>
      </w:r>
      <w:r>
        <w:rPr>
          <w:rFonts w:hint="default" w:ascii="Times New Roman" w:hAnsi="Times New Roman" w:eastAsia="宋体" w:cs="Times New Roman"/>
          <w:sz w:val="24"/>
          <w:szCs w:val="24"/>
          <w:lang w:eastAsia="zh-CN"/>
        </w:rPr>
        <w:t>置，满足《危</w:t>
      </w:r>
      <w:r>
        <w:rPr>
          <w:rFonts w:hint="default" w:ascii="Times New Roman" w:hAnsi="Times New Roman" w:cs="Times New Roman"/>
          <w:sz w:val="24"/>
          <w:szCs w:val="24"/>
          <w:lang w:val="en-US" w:eastAsia="zh-CN"/>
        </w:rPr>
        <w:t>险</w:t>
      </w:r>
      <w:r>
        <w:rPr>
          <w:rFonts w:hint="default" w:ascii="Times New Roman" w:hAnsi="Times New Roman" w:eastAsia="宋体" w:cs="Times New Roman"/>
          <w:sz w:val="24"/>
          <w:szCs w:val="24"/>
          <w:lang w:eastAsia="zh-CN"/>
        </w:rPr>
        <w:t>废物贮存污染控制标准》（</w:t>
      </w:r>
      <w:r>
        <w:rPr>
          <w:rFonts w:hint="default" w:ascii="Times New Roman" w:hAnsi="Times New Roman" w:eastAsia="宋体" w:cs="Times New Roman"/>
          <w:sz w:val="24"/>
          <w:szCs w:val="24"/>
          <w:lang w:val="en-US" w:eastAsia="zh-CN"/>
        </w:rPr>
        <w:t>GB18597-2023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生活垃圾</w:t>
      </w:r>
      <w:r>
        <w:rPr>
          <w:rFonts w:hint="default" w:ascii="Times New Roman" w:hAnsi="Times New Roman" w:eastAsia="宋体" w:cs="Times New Roman"/>
          <w:sz w:val="24"/>
          <w:szCs w:val="24"/>
          <w:lang w:eastAsia="zh-CN"/>
        </w:rPr>
        <w:t>交由环卫部门处理。</w:t>
      </w:r>
    </w:p>
    <w:p>
      <w:pPr>
        <w:spacing w:line="52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4.1.5环境风险防范措施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1、加强危险化学品的管理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①危险化学品的管理由专人负责，非操作人员不得随意使用；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②危险化学品根据《常用化学危险品贮存通则》(GB15603-</w:t>
      </w:r>
      <w:r>
        <w:rPr>
          <w:rFonts w:hint="default" w:ascii="Times New Roman" w:hAnsi="Times New Roman" w:cs="Times New Roman"/>
          <w:color w:val="000000"/>
          <w:sz w:val="24"/>
          <w:szCs w:val="24"/>
          <w:lang w:val="en-US" w:eastAsia="zh-CN"/>
        </w:rPr>
        <w:t>2022</w:t>
      </w:r>
      <w:r>
        <w:rPr>
          <w:rFonts w:hint="default" w:ascii="Times New Roman" w:hAnsi="Times New Roman" w:cs="Times New Roman"/>
          <w:color w:val="000000"/>
          <w:sz w:val="24"/>
          <w:szCs w:val="24"/>
        </w:rPr>
        <w:t>)、《毒害性商品储藏养护技术条件》(GB17916-</w:t>
      </w:r>
      <w:r>
        <w:rPr>
          <w:rFonts w:hint="default" w:ascii="Times New Roman" w:hAnsi="Times New Roman" w:cs="Times New Roman"/>
          <w:color w:val="000000"/>
          <w:sz w:val="24"/>
          <w:szCs w:val="24"/>
          <w:lang w:val="en-US" w:eastAsia="zh-CN"/>
        </w:rPr>
        <w:t>2013</w:t>
      </w:r>
      <w:r>
        <w:rPr>
          <w:rFonts w:hint="default" w:ascii="Times New Roman" w:hAnsi="Times New Roman" w:cs="Times New Roman"/>
          <w:color w:val="000000"/>
          <w:sz w:val="24"/>
          <w:szCs w:val="24"/>
        </w:rPr>
        <w:t>)进行储存；</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③做好危险化学品的入库和出库登记记录，明确去向；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④加强对职工的安全教育，制定严格的工作守则和个人卫生措施，所有操作人员必须了解所使用危险化学品的有害作用及对患者的急救措施，以保证生产的正常运行和员工的身体健康。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2、泄露事故风险防范措施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应急处理：迅速撤离泄漏污染区人员至安全区，并进行隔离，严格限制出入。建议应急处理人员戴自给正压式呼吸器，穿一般作业工作服。不要直接接触泄漏物。尽可能切断泄漏源。防止进入下水道、排洪沟等限制性空间。小量泄漏：砂土、蛭石或其它惰性材料吸收。大量泄漏构筑围堤或挖坑收容。用泡沫覆盖，降低蒸气灾害。用泵转移至槽车或专用收集器内，回收或运至废物处理场所处置。</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事故水池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eastAsia="zh-CN"/>
        </w:rPr>
        <w:t>本项目</w:t>
      </w:r>
      <w:r>
        <w:rPr>
          <w:rFonts w:hint="default" w:ascii="Times New Roman" w:hAnsi="Times New Roman" w:eastAsia="宋体" w:cs="Times New Roman"/>
          <w:sz w:val="24"/>
          <w:szCs w:val="24"/>
        </w:rPr>
        <w:t>在5#车间北侧外建设50m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事故池</w:t>
      </w:r>
      <w:r>
        <w:rPr>
          <w:rFonts w:hint="default" w:ascii="Times New Roman" w:hAnsi="Times New Roman" w:eastAsia="宋体" w:cs="Times New Roman"/>
          <w:sz w:val="24"/>
          <w:szCs w:val="24"/>
          <w:lang w:eastAsia="zh-CN"/>
        </w:rPr>
        <w:t>。</w:t>
      </w:r>
    </w:p>
    <w:p>
      <w:pPr>
        <w:pStyle w:val="5"/>
        <w:keepNext w:val="0"/>
        <w:keepLines w:val="0"/>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 环境保护措施监督检查清单及“三同时”落实情况</w:t>
      </w:r>
      <w:bookmarkEnd w:id="19"/>
      <w:bookmarkEnd w:id="20"/>
    </w:p>
    <w:p>
      <w:pPr>
        <w:pStyle w:val="19"/>
        <w:spacing w:line="520" w:lineRule="exact"/>
        <w:ind w:firstLine="480"/>
        <w:rPr>
          <w:rFonts w:hint="default" w:ascii="Times New Roman" w:hAnsi="Times New Roman" w:cs="Times New Roman"/>
          <w:color w:val="000000"/>
          <w:sz w:val="24"/>
        </w:rPr>
      </w:pPr>
      <w:r>
        <w:rPr>
          <w:rFonts w:hint="default" w:ascii="Times New Roman" w:hAnsi="Times New Roman" w:cs="Times New Roman"/>
          <w:color w:val="000000"/>
          <w:sz w:val="24"/>
        </w:rPr>
        <w:t>本项目实际总投资</w:t>
      </w:r>
      <w:r>
        <w:rPr>
          <w:rFonts w:hint="default" w:ascii="Times New Roman" w:hAnsi="Times New Roman" w:cs="Times New Roman"/>
          <w:color w:val="000000"/>
          <w:sz w:val="24"/>
          <w:lang w:val="en-US" w:eastAsia="zh-CN"/>
        </w:rPr>
        <w:t>16</w:t>
      </w:r>
      <w:r>
        <w:rPr>
          <w:rFonts w:hint="default" w:ascii="Times New Roman" w:hAnsi="Times New Roman" w:cs="Times New Roman"/>
          <w:color w:val="000000"/>
          <w:sz w:val="24"/>
        </w:rPr>
        <w:t>00万元，运营期环保投资</w:t>
      </w:r>
      <w:r>
        <w:rPr>
          <w:rFonts w:hint="default" w:ascii="Times New Roman" w:hAnsi="Times New Roman" w:cs="Times New Roman"/>
          <w:color w:val="000000"/>
          <w:sz w:val="24"/>
          <w:lang w:val="en-US" w:eastAsia="zh-CN"/>
        </w:rPr>
        <w:t>36</w:t>
      </w:r>
      <w:r>
        <w:rPr>
          <w:rFonts w:hint="default" w:ascii="Times New Roman" w:hAnsi="Times New Roman" w:cs="Times New Roman"/>
          <w:color w:val="000000"/>
          <w:sz w:val="24"/>
        </w:rPr>
        <w:t>万元，环保投资占总投资的</w:t>
      </w:r>
      <w:r>
        <w:rPr>
          <w:rFonts w:hint="default" w:ascii="Times New Roman" w:hAnsi="Times New Roman" w:cs="Times New Roman"/>
          <w:color w:val="000000"/>
          <w:sz w:val="24"/>
          <w:lang w:val="en-US" w:eastAsia="zh-CN"/>
        </w:rPr>
        <w:t>2.25</w:t>
      </w:r>
      <w:r>
        <w:rPr>
          <w:rFonts w:hint="default" w:ascii="Times New Roman" w:hAnsi="Times New Roman" w:cs="Times New Roman"/>
          <w:color w:val="000000"/>
          <w:sz w:val="24"/>
        </w:rPr>
        <w:t>%。</w:t>
      </w:r>
      <w:bookmarkStart w:id="21" w:name="_Toc349816626"/>
      <w:r>
        <w:rPr>
          <w:rFonts w:hint="default" w:ascii="Times New Roman" w:hAnsi="Times New Roman" w:cs="Times New Roman"/>
          <w:color w:val="000000"/>
          <w:sz w:val="24"/>
        </w:rPr>
        <w:t>项目环境保护措施监督检查清单及“三同时”落实情况一览表见表4.2-1。</w:t>
      </w:r>
    </w:p>
    <w:p>
      <w:pPr>
        <w:spacing w:line="500" w:lineRule="exact"/>
        <w:ind w:firstLine="600" w:firstLineChars="2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表4.2-1 项目环境保护措施监督检查清单及“三同时”落实情况一览表</w:t>
      </w:r>
    </w:p>
    <w:tbl>
      <w:tblPr>
        <w:tblStyle w:val="42"/>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6"/>
        <w:gridCol w:w="3310"/>
        <w:gridCol w:w="3240"/>
        <w:gridCol w:w="9"/>
        <w:gridCol w:w="1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rPr>
        <w:tc>
          <w:tcPr>
            <w:tcW w:w="467"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类别</w:t>
            </w:r>
          </w:p>
        </w:tc>
        <w:tc>
          <w:tcPr>
            <w:tcW w:w="1942" w:type="pct"/>
            <w:tcBorders>
              <w:left w:val="single" w:color="auto" w:sz="4" w:space="0"/>
              <w:right w:val="single" w:color="auto" w:sz="4" w:space="0"/>
            </w:tcBorders>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环评及批复环保要求</w:t>
            </w:r>
          </w:p>
        </w:tc>
        <w:tc>
          <w:tcPr>
            <w:tcW w:w="1901" w:type="pct"/>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实际建设情况</w:t>
            </w:r>
          </w:p>
        </w:tc>
        <w:tc>
          <w:tcPr>
            <w:tcW w:w="688" w:type="pct"/>
            <w:gridSpan w:val="2"/>
            <w:tcBorders>
              <w:left w:val="single" w:color="auto" w:sz="4" w:space="0"/>
            </w:tcBorders>
            <w:vAlign w:val="center"/>
          </w:tcPr>
          <w:p>
            <w:pPr>
              <w:snapToGrid w:val="0"/>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rPr>
        <w:tc>
          <w:tcPr>
            <w:tcW w:w="467"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w:t>
            </w:r>
          </w:p>
        </w:tc>
        <w:tc>
          <w:tcPr>
            <w:tcW w:w="1942" w:type="pct"/>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Cs w:val="24"/>
              </w:rPr>
            </w:pPr>
            <w:r>
              <w:rPr>
                <w:rFonts w:hint="default" w:ascii="Times New Roman" w:hAnsi="Times New Roman" w:cs="Times New Roman"/>
                <w:szCs w:val="21"/>
              </w:rPr>
              <w:t>废气收集+喷淋处理装置（改造）+15 m高排气筒</w:t>
            </w:r>
          </w:p>
        </w:tc>
        <w:tc>
          <w:tcPr>
            <w:tcW w:w="1906" w:type="pct"/>
            <w:gridSpan w:val="2"/>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color w:val="000000"/>
                <w:szCs w:val="21"/>
                <w:lang w:eastAsia="zh-CN"/>
              </w:rPr>
              <w:t>产污工序密闭，废气微负压收集，引入酸雾喷淋塔处理后经</w:t>
            </w:r>
            <w:r>
              <w:rPr>
                <w:rFonts w:hint="default" w:ascii="Times New Roman" w:hAnsi="Times New Roman" w:cs="Times New Roman"/>
                <w:color w:val="000000"/>
                <w:szCs w:val="21"/>
                <w:lang w:val="en-US" w:eastAsia="zh-CN"/>
              </w:rPr>
              <w:t>15m高排气筒排放</w:t>
            </w:r>
          </w:p>
        </w:tc>
        <w:tc>
          <w:tcPr>
            <w:tcW w:w="683" w:type="pct"/>
            <w:tcBorders>
              <w:bottom w:val="single" w:color="auto" w:sz="4" w:space="0"/>
            </w:tcBorders>
            <w:vAlign w:val="center"/>
          </w:tcPr>
          <w:p>
            <w:pPr>
              <w:snapToGrid w:val="0"/>
              <w:spacing w:line="400" w:lineRule="exact"/>
              <w:ind w:left="-57"/>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467"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废水</w:t>
            </w:r>
          </w:p>
        </w:tc>
        <w:tc>
          <w:tcPr>
            <w:tcW w:w="1942" w:type="pct"/>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szCs w:val="21"/>
              </w:rPr>
              <w:t>化粪池，污水进入污水管网，规范化排污口</w:t>
            </w:r>
          </w:p>
        </w:tc>
        <w:tc>
          <w:tcPr>
            <w:tcW w:w="1906" w:type="pct"/>
            <w:gridSpan w:val="2"/>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Cs w:val="24"/>
                <w:lang w:eastAsia="zh-CN"/>
              </w:rPr>
            </w:pPr>
            <w:r>
              <w:rPr>
                <w:rFonts w:hint="default" w:ascii="Times New Roman" w:hAnsi="Times New Roman" w:cs="Times New Roman"/>
                <w:szCs w:val="24"/>
                <w:lang w:eastAsia="zh-CN"/>
              </w:rPr>
              <w:t>生活污水经化粪池处理后排入市政管网</w:t>
            </w:r>
          </w:p>
        </w:tc>
        <w:tc>
          <w:tcPr>
            <w:tcW w:w="683"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7"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噪声</w:t>
            </w:r>
          </w:p>
        </w:tc>
        <w:tc>
          <w:tcPr>
            <w:tcW w:w="1942" w:type="pct"/>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szCs w:val="21"/>
              </w:rPr>
              <w:t>选用低噪声设备，同时采用减振、消声、隔声等降噪措施</w:t>
            </w:r>
          </w:p>
        </w:tc>
        <w:tc>
          <w:tcPr>
            <w:tcW w:w="1906" w:type="pct"/>
            <w:gridSpan w:val="2"/>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设备全部布置在密闭车间内，经车间隔声、基础减震等措施；</w:t>
            </w:r>
          </w:p>
        </w:tc>
        <w:tc>
          <w:tcPr>
            <w:tcW w:w="683" w:type="pct"/>
            <w:tcBorders>
              <w:bottom w:val="single" w:color="auto" w:sz="4" w:space="0"/>
            </w:tcBorders>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7" w:type="pct"/>
            <w:vMerge w:val="restar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固体</w:t>
            </w:r>
          </w:p>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废物</w:t>
            </w:r>
          </w:p>
        </w:tc>
        <w:tc>
          <w:tcPr>
            <w:tcW w:w="1942" w:type="pct"/>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叶腊、废白云石、废碳管、废钢片、</w:t>
            </w:r>
          </w:p>
          <w:p>
            <w:pPr>
              <w:rPr>
                <w:rStyle w:val="77"/>
                <w:rFonts w:hint="default" w:ascii="Times New Roman" w:hAnsi="Times New Roman" w:eastAsia="宋体" w:cs="Times New Roman"/>
                <w:color w:val="auto"/>
                <w:sz w:val="21"/>
                <w:szCs w:val="22"/>
                <w:lang w:eastAsia="zh-CN"/>
              </w:rPr>
            </w:pPr>
            <w:r>
              <w:rPr>
                <w:rFonts w:hint="default" w:ascii="Times New Roman" w:hAnsi="Times New Roman" w:cs="Times New Roman"/>
                <w:szCs w:val="21"/>
              </w:rPr>
              <w:t>废六方氮化硼</w:t>
            </w:r>
            <w:r>
              <w:rPr>
                <w:rFonts w:hint="default" w:ascii="Times New Roman" w:hAnsi="Times New Roman" w:cs="Times New Roman"/>
              </w:rPr>
              <w:t>经统一收集后，</w:t>
            </w:r>
            <w:r>
              <w:rPr>
                <w:rFonts w:hint="default" w:ascii="Times New Roman" w:hAnsi="Times New Roman" w:cs="Times New Roman"/>
                <w:lang w:eastAsia="zh-CN"/>
              </w:rPr>
              <w:t>交由物资回收部门统一处理。</w:t>
            </w:r>
          </w:p>
        </w:tc>
        <w:tc>
          <w:tcPr>
            <w:tcW w:w="1906" w:type="pct"/>
            <w:gridSpan w:val="2"/>
            <w:tcBorders>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szCs w:val="21"/>
              </w:rPr>
              <w:t>叶腊、废白云石、废碳管、废钢片、废六方氮化硼</w:t>
            </w:r>
            <w:r>
              <w:rPr>
                <w:rFonts w:hint="default" w:ascii="Times New Roman" w:hAnsi="Times New Roman" w:cs="Times New Roman"/>
                <w:szCs w:val="21"/>
                <w:lang w:val="en-US" w:eastAsia="zh-CN"/>
              </w:rPr>
              <w:t>及沉淀污泥</w:t>
            </w:r>
            <w:r>
              <w:rPr>
                <w:rFonts w:hint="default" w:ascii="Times New Roman" w:hAnsi="Times New Roman" w:cs="Times New Roman"/>
              </w:rPr>
              <w:t>经统一收集后，</w:t>
            </w:r>
            <w:r>
              <w:rPr>
                <w:rFonts w:hint="default" w:ascii="Times New Roman" w:hAnsi="Times New Roman" w:cs="Times New Roman"/>
                <w:lang w:eastAsia="zh-CN"/>
              </w:rPr>
              <w:t>交由物资回收部门统一处理。</w:t>
            </w:r>
          </w:p>
        </w:tc>
        <w:tc>
          <w:tcPr>
            <w:tcW w:w="683" w:type="pct"/>
            <w:tcBorders>
              <w:bottom w:val="single" w:color="auto" w:sz="4" w:space="0"/>
            </w:tcBorders>
            <w:vAlign w:val="center"/>
          </w:tcPr>
          <w:p>
            <w:pPr>
              <w:snapToGrid w:val="0"/>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trPr>
        <w:tc>
          <w:tcPr>
            <w:tcW w:w="467" w:type="pct"/>
            <w:vMerge w:val="continue"/>
            <w:vAlign w:val="center"/>
          </w:tcPr>
          <w:p>
            <w:pPr>
              <w:snapToGrid w:val="0"/>
              <w:spacing w:line="400" w:lineRule="exact"/>
              <w:ind w:left="-57"/>
              <w:jc w:val="center"/>
              <w:rPr>
                <w:rFonts w:hint="default" w:ascii="Times New Roman" w:hAnsi="Times New Roman" w:cs="Times New Roman"/>
                <w:color w:val="000000"/>
                <w:szCs w:val="21"/>
              </w:rPr>
            </w:pPr>
          </w:p>
        </w:tc>
        <w:tc>
          <w:tcPr>
            <w:tcW w:w="1942" w:type="pct"/>
            <w:tcBorders>
              <w:top w:val="single" w:color="auto" w:sz="4" w:space="0"/>
              <w:left w:val="single" w:color="auto" w:sz="4" w:space="0"/>
              <w:right w:val="single" w:color="auto" w:sz="4" w:space="0"/>
            </w:tcBorders>
            <w:vAlign w:val="center"/>
          </w:tcPr>
          <w:p>
            <w:pPr>
              <w:rPr>
                <w:rStyle w:val="77"/>
                <w:rFonts w:hint="default" w:ascii="Times New Roman" w:hAnsi="Times New Roman" w:cs="Times New Roman"/>
                <w:color w:val="auto"/>
                <w:sz w:val="21"/>
                <w:szCs w:val="22"/>
              </w:rPr>
            </w:pPr>
            <w:r>
              <w:rPr>
                <w:rFonts w:hint="default" w:ascii="Times New Roman" w:hAnsi="Times New Roman" w:cs="Times New Roman"/>
                <w:szCs w:val="21"/>
              </w:rPr>
              <w:t>废酸瓶及其包装物，碱包装物</w:t>
            </w:r>
            <w:r>
              <w:rPr>
                <w:rFonts w:hint="default" w:ascii="Times New Roman" w:hAnsi="Times New Roman" w:cs="Times New Roman"/>
              </w:rPr>
              <w:t>危废暂存间暂存后定期送往有资质单位处置</w:t>
            </w:r>
          </w:p>
        </w:tc>
        <w:tc>
          <w:tcPr>
            <w:tcW w:w="1906" w:type="pct"/>
            <w:gridSpan w:val="2"/>
            <w:tcBorders>
              <w:left w:val="single" w:color="auto" w:sz="4" w:space="0"/>
              <w:right w:val="single" w:color="auto" w:sz="4" w:space="0"/>
            </w:tcBorders>
            <w:vAlign w:val="center"/>
          </w:tcPr>
          <w:p>
            <w:pPr>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rPr>
              <w:t>经厂区危废暂存间暂存后定期送往</w:t>
            </w:r>
            <w:r>
              <w:rPr>
                <w:rFonts w:hint="default" w:ascii="Times New Roman" w:hAnsi="Times New Roman" w:cs="Times New Roman"/>
                <w:highlight w:val="none"/>
              </w:rPr>
              <w:t>河南嘉祥新能源科技有限公司处置</w:t>
            </w:r>
          </w:p>
        </w:tc>
        <w:tc>
          <w:tcPr>
            <w:tcW w:w="683" w:type="pct"/>
            <w:tcBorders>
              <w:bottom w:val="single" w:color="auto" w:sz="4" w:space="0"/>
            </w:tcBorders>
            <w:vAlign w:val="center"/>
          </w:tcPr>
          <w:p>
            <w:pPr>
              <w:snapToGrid w:val="0"/>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7" w:type="pct"/>
            <w:vAlign w:val="center"/>
          </w:tcPr>
          <w:p>
            <w:pPr>
              <w:snapToGrid w:val="0"/>
              <w:spacing w:line="400" w:lineRule="exact"/>
              <w:ind w:left="-57"/>
              <w:jc w:val="center"/>
              <w:rPr>
                <w:rFonts w:hint="default" w:ascii="Times New Roman" w:hAnsi="Times New Roman" w:cs="Times New Roman"/>
                <w:color w:val="000000"/>
                <w:szCs w:val="21"/>
              </w:rPr>
            </w:pPr>
            <w:r>
              <w:rPr>
                <w:rFonts w:hint="default" w:ascii="Times New Roman" w:hAnsi="Times New Roman" w:cs="Times New Roman"/>
                <w:color w:val="000000"/>
                <w:szCs w:val="21"/>
              </w:rPr>
              <w:t>风险</w:t>
            </w:r>
          </w:p>
        </w:tc>
        <w:tc>
          <w:tcPr>
            <w:tcW w:w="1942" w:type="pct"/>
            <w:tcBorders>
              <w:left w:val="single" w:color="auto" w:sz="4" w:space="0"/>
              <w:bottom w:val="single" w:color="auto" w:sz="4" w:space="0"/>
              <w:right w:val="single" w:color="auto" w:sz="4" w:space="0"/>
            </w:tcBorders>
            <w:vAlign w:val="center"/>
          </w:tcPr>
          <w:p>
            <w:pPr>
              <w:ind w:firstLine="420" w:firstLineChars="200"/>
              <w:rPr>
                <w:rFonts w:hint="default" w:ascii="Times New Roman" w:hAnsi="Times New Roman" w:cs="Times New Roman"/>
                <w:szCs w:val="24"/>
              </w:rPr>
            </w:pPr>
            <w:r>
              <w:rPr>
                <w:rFonts w:hint="default" w:ascii="Times New Roman" w:hAnsi="Times New Roman" w:cs="Times New Roman"/>
                <w:szCs w:val="21"/>
              </w:rPr>
              <w:t>在5#车间北侧外建设50m</w:t>
            </w:r>
            <w:r>
              <w:rPr>
                <w:rFonts w:hint="default" w:ascii="Times New Roman" w:hAnsi="Times New Roman" w:cs="Times New Roman"/>
                <w:szCs w:val="21"/>
                <w:vertAlign w:val="superscript"/>
              </w:rPr>
              <w:t>3</w:t>
            </w:r>
            <w:r>
              <w:rPr>
                <w:rFonts w:hint="default" w:ascii="Times New Roman" w:hAnsi="Times New Roman" w:cs="Times New Roman"/>
                <w:szCs w:val="21"/>
              </w:rPr>
              <w:t>事故池</w:t>
            </w:r>
          </w:p>
        </w:tc>
        <w:tc>
          <w:tcPr>
            <w:tcW w:w="1906" w:type="pct"/>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hint="default" w:ascii="Times New Roman" w:hAnsi="Times New Roman" w:cs="Times New Roman"/>
                <w:szCs w:val="24"/>
              </w:rPr>
            </w:pPr>
            <w:r>
              <w:rPr>
                <w:rFonts w:hint="default" w:ascii="Times New Roman" w:hAnsi="Times New Roman" w:cs="Times New Roman"/>
                <w:szCs w:val="21"/>
              </w:rPr>
              <w:t>在5#车间北侧外建设50m</w:t>
            </w:r>
            <w:r>
              <w:rPr>
                <w:rFonts w:hint="default" w:ascii="Times New Roman" w:hAnsi="Times New Roman" w:cs="Times New Roman"/>
                <w:szCs w:val="21"/>
                <w:vertAlign w:val="superscript"/>
              </w:rPr>
              <w:t>3</w:t>
            </w:r>
            <w:r>
              <w:rPr>
                <w:rFonts w:hint="default" w:ascii="Times New Roman" w:hAnsi="Times New Roman" w:cs="Times New Roman"/>
                <w:szCs w:val="21"/>
              </w:rPr>
              <w:t>事故池</w:t>
            </w:r>
          </w:p>
        </w:tc>
        <w:tc>
          <w:tcPr>
            <w:tcW w:w="683" w:type="pct"/>
            <w:tcBorders>
              <w:top w:val="single" w:color="auto" w:sz="4" w:space="0"/>
            </w:tcBorders>
            <w:vAlign w:val="center"/>
          </w:tcPr>
          <w:p>
            <w:pPr>
              <w:snapToGrid w:val="0"/>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bl>
    <w:p>
      <w:pPr>
        <w:spacing w:line="500" w:lineRule="exact"/>
        <w:ind w:firstLine="960" w:firstLineChars="400"/>
        <w:rPr>
          <w:rFonts w:hint="default" w:ascii="Times New Roman" w:hAnsi="Times New Roman" w:eastAsia="黑体" w:cs="Times New Roman"/>
          <w:color w:val="000000"/>
          <w:sz w:val="24"/>
          <w:szCs w:val="24"/>
        </w:rPr>
      </w:pPr>
    </w:p>
    <w:p>
      <w:pPr>
        <w:spacing w:afterLines="50" w:line="500" w:lineRule="exact"/>
        <w:rPr>
          <w:rFonts w:hint="default" w:ascii="Times New Roman" w:hAnsi="Times New Roman" w:eastAsia="黑体" w:cs="Times New Roman"/>
          <w:color w:val="000000"/>
          <w:sz w:val="28"/>
          <w:szCs w:val="28"/>
        </w:rPr>
      </w:pPr>
      <w:bookmarkStart w:id="22" w:name="_Toc27261"/>
      <w:r>
        <w:rPr>
          <w:rFonts w:hint="default" w:ascii="Times New Roman" w:hAnsi="Times New Roman" w:cs="Times New Roman"/>
          <w:color w:val="000000"/>
          <w:sz w:val="24"/>
          <w:szCs w:val="24"/>
        </w:rPr>
        <w:br w:type="page"/>
      </w:r>
      <w:r>
        <w:rPr>
          <w:rFonts w:hint="default" w:ascii="Times New Roman" w:hAnsi="Times New Roman" w:eastAsia="黑体" w:cs="Times New Roman"/>
          <w:color w:val="000000"/>
          <w:sz w:val="28"/>
          <w:szCs w:val="28"/>
        </w:rPr>
        <w:t>5</w:t>
      </w:r>
      <w:bookmarkEnd w:id="21"/>
      <w:r>
        <w:rPr>
          <w:rFonts w:hint="default" w:ascii="Times New Roman" w:hAnsi="Times New Roman" w:eastAsia="黑体" w:cs="Times New Roman"/>
          <w:color w:val="000000"/>
          <w:sz w:val="28"/>
          <w:szCs w:val="28"/>
        </w:rPr>
        <w:t>、建设项目环评报告表的主要结论与建议及审批部门审批决定</w:t>
      </w:r>
      <w:bookmarkEnd w:id="22"/>
    </w:p>
    <w:p>
      <w:pPr>
        <w:pStyle w:val="5"/>
        <w:keepNext w:val="0"/>
        <w:keepLines w:val="0"/>
        <w:adjustRightInd w:val="0"/>
        <w:snapToGrid w:val="0"/>
        <w:spacing w:line="500" w:lineRule="exact"/>
        <w:rPr>
          <w:rFonts w:hint="default" w:ascii="Times New Roman" w:hAnsi="Times New Roman" w:cs="Times New Roman"/>
          <w:color w:val="000000"/>
          <w:sz w:val="24"/>
          <w:szCs w:val="24"/>
        </w:rPr>
      </w:pPr>
      <w:bookmarkStart w:id="23" w:name="_Toc3060"/>
      <w:r>
        <w:rPr>
          <w:rFonts w:hint="default" w:ascii="Times New Roman" w:hAnsi="Times New Roman" w:cs="Times New Roman"/>
          <w:color w:val="000000"/>
          <w:sz w:val="24"/>
          <w:szCs w:val="24"/>
        </w:rPr>
        <w:t>5.1建设项目环评报告表的主要结论与建议</w:t>
      </w:r>
      <w:bookmarkEnd w:id="23"/>
    </w:p>
    <w:p>
      <w:pPr>
        <w:pStyle w:val="144"/>
        <w:spacing w:line="500" w:lineRule="exact"/>
        <w:ind w:firstLine="480" w:firstLineChars="200"/>
        <w:jc w:val="both"/>
        <w:rPr>
          <w:rFonts w:hint="default" w:ascii="Times New Roman" w:hAnsi="Times New Roman" w:cs="Times New Roman"/>
          <w:color w:val="000000"/>
          <w:lang w:bidi="he-IL"/>
        </w:rPr>
      </w:pPr>
      <w:bookmarkStart w:id="24" w:name="_Toc495684063"/>
      <w:bookmarkStart w:id="25" w:name="_Toc17209"/>
      <w:r>
        <w:rPr>
          <w:rFonts w:hint="default" w:ascii="Times New Roman" w:hAnsi="Times New Roman" w:cs="Times New Roman"/>
          <w:color w:val="000000"/>
          <w:lang w:bidi="he-IL"/>
        </w:rPr>
        <w:t>本改建项目符合国家产业政策、符合信阳市产业集聚区发展规划要求，本项目改进了合成块组装方式，简化腔体内组件，腔体内温度上升更快，温度场更均匀；简化制棒工序流程，简化为混料—压棒，节省了制作工序，缩短物料在空气中暴露的时间，项目在运营过程应严格遵守国家和地方的有关环保法规，采取切实可行的环境保护措施，各项污染物都能达标排放，将环境管理纳入日常生产管理渠道，项目正常运营对周围环境产生的影响较小，不会引起区域环境质量的改变，从环境保护角度考虑，本评价认为该项目建设是可行的。</w:t>
      </w:r>
    </w:p>
    <w:p>
      <w:pPr>
        <w:spacing w:line="500" w:lineRule="exact"/>
        <w:rPr>
          <w:rFonts w:hint="default" w:ascii="Times New Roman" w:hAnsi="Times New Roman" w:eastAsia="黑体" w:cs="Times New Roman"/>
          <w:sz w:val="24"/>
        </w:rPr>
      </w:pPr>
      <w:r>
        <w:rPr>
          <w:rFonts w:hint="default" w:ascii="Times New Roman" w:hAnsi="Times New Roman" w:eastAsia="黑体" w:cs="Times New Roman"/>
          <w:color w:val="000000"/>
          <w:sz w:val="24"/>
          <w:szCs w:val="24"/>
        </w:rPr>
        <w:t>5.2 审批部门审批决定</w:t>
      </w:r>
      <w:bookmarkEnd w:id="24"/>
      <w:bookmarkEnd w:id="25"/>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该项目由</w:t>
      </w:r>
      <w:r>
        <w:rPr>
          <w:rFonts w:hint="default" w:ascii="Times New Roman" w:hAnsi="Times New Roman" w:cs="Times New Roman"/>
          <w:color w:val="000000"/>
          <w:lang w:eastAsia="zh-CN"/>
        </w:rPr>
        <w:t>信阳市生态环境局</w:t>
      </w:r>
      <w:r>
        <w:rPr>
          <w:rFonts w:hint="default" w:ascii="Times New Roman" w:hAnsi="Times New Roman" w:cs="Times New Roman"/>
          <w:color w:val="000000"/>
          <w:lang w:bidi="he-IL"/>
        </w:rPr>
        <w:t>以</w:t>
      </w:r>
      <w:r>
        <w:rPr>
          <w:rFonts w:hint="default" w:ascii="Times New Roman" w:hAnsi="Times New Roman" w:cs="Times New Roman"/>
          <w:color w:val="000000"/>
          <w:lang w:eastAsia="zh-CN"/>
        </w:rPr>
        <w:t>信</w:t>
      </w:r>
      <w:r>
        <w:rPr>
          <w:rFonts w:hint="default" w:ascii="Times New Roman" w:hAnsi="Times New Roman" w:cs="Times New Roman"/>
          <w:color w:val="000000"/>
        </w:rPr>
        <w:t>环审［2021］</w:t>
      </w:r>
      <w:r>
        <w:rPr>
          <w:rFonts w:hint="default" w:ascii="Times New Roman" w:hAnsi="Times New Roman" w:cs="Times New Roman"/>
          <w:color w:val="000000"/>
          <w:lang w:val="en-US" w:eastAsia="zh-CN"/>
        </w:rPr>
        <w:t>31</w:t>
      </w:r>
      <w:r>
        <w:rPr>
          <w:rFonts w:hint="default" w:ascii="Times New Roman" w:hAnsi="Times New Roman" w:cs="Times New Roman"/>
          <w:color w:val="000000"/>
        </w:rPr>
        <w:t>号</w:t>
      </w:r>
      <w:r>
        <w:rPr>
          <w:rFonts w:hint="default" w:ascii="Times New Roman" w:hAnsi="Times New Roman" w:cs="Times New Roman"/>
          <w:color w:val="000000"/>
          <w:lang w:bidi="he-IL"/>
        </w:rPr>
        <w:t>文批复。</w:t>
      </w:r>
    </w:p>
    <w:p>
      <w:pPr>
        <w:spacing w:line="500" w:lineRule="exact"/>
        <w:rPr>
          <w:rFonts w:hint="default" w:ascii="Times New Roman" w:hAnsi="Times New Roman" w:cs="Times New Roman"/>
          <w:sz w:val="24"/>
          <w:szCs w:val="24"/>
        </w:rPr>
      </w:pPr>
      <w:r>
        <w:rPr>
          <w:rFonts w:hint="default" w:ascii="Times New Roman" w:hAnsi="Times New Roman" w:cs="Times New Roman"/>
          <w:sz w:val="24"/>
        </w:rPr>
        <w:t>信阳市德隆超硬材料有限公司</w:t>
      </w:r>
      <w:r>
        <w:rPr>
          <w:rFonts w:hint="default" w:ascii="Times New Roman" w:hAnsi="Times New Roman" w:cs="Times New Roman"/>
          <w:sz w:val="24"/>
          <w:szCs w:val="24"/>
        </w:rPr>
        <w:t>：</w:t>
      </w:r>
    </w:p>
    <w:p>
      <w:pPr>
        <w:spacing w:line="500" w:lineRule="exact"/>
        <w:ind w:firstLine="360" w:firstLineChars="150"/>
        <w:rPr>
          <w:rFonts w:hint="default" w:ascii="Times New Roman" w:hAnsi="Times New Roman" w:cs="Times New Roman"/>
          <w:color w:val="000000"/>
          <w:sz w:val="24"/>
          <w:szCs w:val="24"/>
        </w:rPr>
      </w:pPr>
      <w:r>
        <w:rPr>
          <w:rFonts w:hint="default" w:ascii="Times New Roman" w:hAnsi="Times New Roman" w:cs="Times New Roman"/>
          <w:sz w:val="24"/>
          <w:szCs w:val="24"/>
        </w:rPr>
        <w:t>你</w:t>
      </w:r>
      <w:r>
        <w:rPr>
          <w:rFonts w:hint="default" w:ascii="Times New Roman" w:hAnsi="Times New Roman" w:cs="Times New Roman"/>
          <w:sz w:val="24"/>
          <w:szCs w:val="24"/>
          <w:lang w:eastAsia="zh-CN"/>
        </w:rPr>
        <w:t>单位</w:t>
      </w:r>
      <w:r>
        <w:rPr>
          <w:rFonts w:hint="default" w:ascii="Times New Roman" w:hAnsi="Times New Roman" w:cs="Times New Roman"/>
          <w:color w:val="000000"/>
          <w:kern w:val="0"/>
          <w:sz w:val="24"/>
          <w:szCs w:val="24"/>
        </w:rPr>
        <w:t>报</w:t>
      </w:r>
      <w:r>
        <w:rPr>
          <w:rFonts w:hint="default" w:ascii="Times New Roman" w:hAnsi="Times New Roman" w:cs="Times New Roman"/>
          <w:sz w:val="24"/>
          <w:szCs w:val="24"/>
        </w:rPr>
        <w:t>送的由</w:t>
      </w:r>
      <w:r>
        <w:rPr>
          <w:rFonts w:hint="default" w:ascii="Times New Roman" w:hAnsi="Times New Roman" w:cs="Times New Roman"/>
          <w:sz w:val="24"/>
          <w:szCs w:val="24"/>
          <w:lang w:eastAsia="zh-CN"/>
        </w:rPr>
        <w:t>安徽汇泽通环境技术有限公司</w:t>
      </w:r>
      <w:r>
        <w:rPr>
          <w:rFonts w:hint="default" w:ascii="Times New Roman" w:hAnsi="Times New Roman" w:cs="Times New Roman"/>
          <w:sz w:val="24"/>
          <w:szCs w:val="24"/>
        </w:rPr>
        <w:t>编制的《信阳市德隆超硬材料有限公司年产5000万克拉高转化率锋利型立方氮化硼单晶项目环境影响报告表》（以下简称《报告表》已收悉</w:t>
      </w:r>
      <w:r>
        <w:rPr>
          <w:rFonts w:hint="default" w:ascii="Times New Roman" w:hAnsi="Times New Roman" w:cs="Times New Roman"/>
          <w:sz w:val="24"/>
          <w:szCs w:val="24"/>
          <w:lang w:eastAsia="zh-CN"/>
        </w:rPr>
        <w:t>，并已在我局</w:t>
      </w:r>
      <w:r>
        <w:rPr>
          <w:rFonts w:hint="default" w:ascii="Times New Roman" w:hAnsi="Times New Roman" w:cs="Times New Roman"/>
          <w:sz w:val="24"/>
          <w:szCs w:val="24"/>
        </w:rPr>
        <w:t>网站公示期满。根据《中华人民共和国环境保护法》《中华人民共和国行政许可法》《中华人民共和国环境影响评价法》《建设项目环境保护管理条例》等法律法规规定，经研究，批复如下：</w:t>
      </w:r>
      <w:bookmarkStart w:id="26" w:name="_Toc19289"/>
    </w:p>
    <w:p>
      <w:pPr>
        <w:pStyle w:val="144"/>
        <w:spacing w:line="500" w:lineRule="exact"/>
        <w:ind w:firstLine="480" w:firstLineChars="200"/>
        <w:jc w:val="both"/>
        <w:rPr>
          <w:rFonts w:hint="default" w:ascii="Times New Roman" w:hAnsi="Times New Roman" w:eastAsia="宋体" w:cs="Times New Roman"/>
          <w:color w:val="000000"/>
          <w:lang w:val="en-US" w:eastAsia="zh-CN" w:bidi="he-IL"/>
        </w:rPr>
      </w:pPr>
      <w:r>
        <w:rPr>
          <w:rFonts w:hint="default" w:ascii="Times New Roman" w:hAnsi="Times New Roman" w:cs="Times New Roman"/>
          <w:color w:val="000000"/>
          <w:lang w:bidi="he-IL"/>
        </w:rPr>
        <w:t>一、</w:t>
      </w:r>
      <w:r>
        <w:rPr>
          <w:rFonts w:hint="default" w:ascii="Times New Roman" w:hAnsi="Times New Roman" w:cs="Times New Roman"/>
          <w:color w:val="000000"/>
          <w:lang w:eastAsia="zh-CN" w:bidi="he-IL"/>
        </w:rPr>
        <w:t>本项目性质属于改建。项目位于信阳市产业集聚区信阳高新区工五路与工十四路交叉口，项目依托现有厂房</w:t>
      </w:r>
      <w:r>
        <w:rPr>
          <w:rFonts w:hint="default" w:ascii="Times New Roman" w:hAnsi="Times New Roman" w:cs="Times New Roman"/>
          <w:color w:val="000000"/>
          <w:lang w:val="en-US" w:eastAsia="zh-CN" w:bidi="he-IL"/>
        </w:rPr>
        <w:t>600平方米，引进Φ650缸径压机及其他辅助设备，实现年产5000万克拉高转化率锋利型立方氮化硼单晶，主要工艺流程为：六方氮化硼、触媒进行造粒组装-高温高压合成立方氮化硼-去除杂质-烘干筛分-造型-破碎。项目改建过程中不涉及构筑物的建设。本项目不新增劳动定员，项目总投资2000万元，环保投资36万元。</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eastAsia="zh-CN" w:bidi="he-IL"/>
        </w:rPr>
        <w:t>二、项目建设</w:t>
      </w:r>
      <w:r>
        <w:rPr>
          <w:rFonts w:hint="default" w:ascii="Times New Roman" w:hAnsi="Times New Roman" w:cs="Times New Roman"/>
          <w:color w:val="000000"/>
          <w:lang w:bidi="he-IL"/>
        </w:rPr>
        <w:t>符合国家有关法律法规要求和建设项目环境管理规定，</w:t>
      </w:r>
      <w:r>
        <w:rPr>
          <w:rFonts w:hint="default" w:ascii="Times New Roman" w:hAnsi="Times New Roman" w:cs="Times New Roman"/>
          <w:color w:val="000000"/>
          <w:lang w:eastAsia="zh-CN" w:bidi="he-IL"/>
        </w:rPr>
        <w:t>我局</w:t>
      </w:r>
      <w:r>
        <w:rPr>
          <w:rFonts w:hint="default" w:ascii="Times New Roman" w:hAnsi="Times New Roman" w:cs="Times New Roman"/>
          <w:color w:val="000000"/>
          <w:lang w:bidi="he-IL"/>
        </w:rPr>
        <w:t>原则同意你</w:t>
      </w:r>
      <w:r>
        <w:rPr>
          <w:rFonts w:hint="default" w:ascii="Times New Roman" w:hAnsi="Times New Roman" w:cs="Times New Roman"/>
          <w:color w:val="000000"/>
          <w:lang w:eastAsia="zh-CN" w:bidi="he-IL"/>
        </w:rPr>
        <w:t>单位</w:t>
      </w:r>
      <w:r>
        <w:rPr>
          <w:rFonts w:hint="default" w:ascii="Times New Roman" w:hAnsi="Times New Roman" w:cs="Times New Roman"/>
          <w:color w:val="000000"/>
          <w:lang w:bidi="he-IL"/>
        </w:rPr>
        <w:t>按照《报告表》所列</w:t>
      </w:r>
      <w:r>
        <w:rPr>
          <w:rFonts w:hint="default" w:ascii="Times New Roman" w:hAnsi="Times New Roman" w:cs="Times New Roman"/>
          <w:color w:val="000000"/>
          <w:lang w:eastAsia="zh-CN" w:bidi="he-IL"/>
        </w:rPr>
        <w:t>建设</w:t>
      </w:r>
      <w:r>
        <w:rPr>
          <w:rFonts w:hint="default" w:ascii="Times New Roman" w:hAnsi="Times New Roman" w:cs="Times New Roman"/>
          <w:color w:val="000000"/>
          <w:lang w:bidi="he-IL"/>
        </w:rPr>
        <w:t>项目的性质、规模、</w:t>
      </w:r>
      <w:r>
        <w:rPr>
          <w:rFonts w:hint="default" w:ascii="Times New Roman" w:hAnsi="Times New Roman" w:cs="Times New Roman"/>
          <w:color w:val="000000"/>
          <w:lang w:eastAsia="zh-CN" w:bidi="he-IL"/>
        </w:rPr>
        <w:t>工艺</w:t>
      </w:r>
      <w:r>
        <w:rPr>
          <w:rFonts w:hint="default" w:ascii="Times New Roman" w:hAnsi="Times New Roman" w:cs="Times New Roman"/>
          <w:color w:val="000000"/>
          <w:lang w:bidi="he-IL"/>
        </w:rPr>
        <w:t>、</w:t>
      </w:r>
      <w:r>
        <w:rPr>
          <w:rFonts w:hint="default" w:ascii="Times New Roman" w:hAnsi="Times New Roman" w:cs="Times New Roman"/>
          <w:color w:val="000000"/>
          <w:lang w:eastAsia="zh-CN" w:bidi="he-IL"/>
        </w:rPr>
        <w:t>地点和</w:t>
      </w:r>
      <w:r>
        <w:rPr>
          <w:rFonts w:hint="default" w:ascii="Times New Roman" w:hAnsi="Times New Roman" w:cs="Times New Roman"/>
          <w:color w:val="000000"/>
          <w:lang w:bidi="he-IL"/>
        </w:rPr>
        <w:t>环境保护对策措施进行项目建设。你</w:t>
      </w:r>
      <w:r>
        <w:rPr>
          <w:rFonts w:hint="default" w:ascii="Times New Roman" w:hAnsi="Times New Roman" w:cs="Times New Roman"/>
          <w:color w:val="000000"/>
          <w:lang w:eastAsia="zh-CN" w:bidi="he-IL"/>
        </w:rPr>
        <w:t>单位</w:t>
      </w:r>
      <w:r>
        <w:rPr>
          <w:rFonts w:hint="default" w:ascii="Times New Roman" w:hAnsi="Times New Roman" w:cs="Times New Roman"/>
          <w:color w:val="000000"/>
          <w:lang w:bidi="he-IL"/>
        </w:rPr>
        <w:t>应</w:t>
      </w:r>
      <w:r>
        <w:rPr>
          <w:rFonts w:hint="default" w:ascii="Times New Roman" w:hAnsi="Times New Roman" w:cs="Times New Roman"/>
          <w:color w:val="000000"/>
          <w:lang w:eastAsia="zh-CN" w:bidi="he-IL"/>
        </w:rPr>
        <w:t>当</w:t>
      </w:r>
      <w:r>
        <w:rPr>
          <w:rFonts w:hint="default" w:ascii="Times New Roman" w:hAnsi="Times New Roman" w:cs="Times New Roman"/>
          <w:color w:val="000000"/>
          <w:lang w:bidi="he-IL"/>
        </w:rPr>
        <w:t>向社会公众主动公开经批准的《报告表》，并接受相关方的</w:t>
      </w:r>
      <w:r>
        <w:rPr>
          <w:rFonts w:hint="default" w:ascii="Times New Roman" w:hAnsi="Times New Roman" w:cs="Times New Roman"/>
          <w:color w:val="000000"/>
          <w:lang w:eastAsia="zh-CN" w:bidi="he-IL"/>
        </w:rPr>
        <w:t>垂</w:t>
      </w:r>
      <w:r>
        <w:rPr>
          <w:rFonts w:hint="default" w:ascii="Times New Roman" w:hAnsi="Times New Roman" w:cs="Times New Roman"/>
          <w:color w:val="000000"/>
          <w:lang w:bidi="he-IL"/>
        </w:rPr>
        <w:t>询。</w:t>
      </w:r>
    </w:p>
    <w:p>
      <w:pPr>
        <w:pStyle w:val="144"/>
        <w:spacing w:line="500" w:lineRule="exact"/>
        <w:ind w:firstLine="480" w:firstLineChars="200"/>
        <w:jc w:val="both"/>
        <w:rPr>
          <w:rFonts w:hint="default" w:ascii="Times New Roman" w:hAnsi="Times New Roman" w:cs="Times New Roman"/>
          <w:color w:val="000000"/>
          <w:lang w:bidi="he-IL"/>
        </w:rPr>
      </w:pPr>
    </w:p>
    <w:p>
      <w:pPr>
        <w:pStyle w:val="144"/>
        <w:spacing w:line="500" w:lineRule="exact"/>
        <w:ind w:firstLine="480" w:firstLineChars="200"/>
        <w:jc w:val="both"/>
        <w:rPr>
          <w:rFonts w:hint="default" w:ascii="Times New Roman" w:hAnsi="Times New Roman" w:eastAsia="宋体" w:cs="Times New Roman"/>
          <w:color w:val="000000"/>
          <w:lang w:eastAsia="zh-CN" w:bidi="he-IL"/>
        </w:rPr>
      </w:pPr>
      <w:r>
        <w:rPr>
          <w:rFonts w:hint="default" w:ascii="Times New Roman" w:hAnsi="Times New Roman" w:cs="Times New Roman"/>
          <w:color w:val="000000"/>
          <w:lang w:bidi="he-IL"/>
        </w:rPr>
        <w:t>三、</w:t>
      </w:r>
      <w:r>
        <w:rPr>
          <w:rFonts w:hint="default" w:ascii="Times New Roman" w:hAnsi="Times New Roman" w:cs="Times New Roman"/>
          <w:color w:val="000000"/>
          <w:lang w:eastAsia="zh-CN" w:bidi="he-IL"/>
        </w:rPr>
        <w:t>工程建设及运行中应</w:t>
      </w:r>
      <w:r>
        <w:rPr>
          <w:rFonts w:hint="default" w:ascii="Times New Roman" w:hAnsi="Times New Roman" w:cs="Times New Roman"/>
          <w:color w:val="000000"/>
          <w:lang w:bidi="he-IL"/>
        </w:rPr>
        <w:t>全面落实《报告表》提出的各项环境保护措施，环境保护</w:t>
      </w:r>
      <w:r>
        <w:rPr>
          <w:rFonts w:hint="default" w:ascii="Times New Roman" w:hAnsi="Times New Roman" w:cs="Times New Roman"/>
          <w:color w:val="000000"/>
          <w:lang w:eastAsia="zh-CN" w:bidi="he-IL"/>
        </w:rPr>
        <w:t>措</w:t>
      </w:r>
      <w:r>
        <w:rPr>
          <w:rFonts w:hint="default" w:ascii="Times New Roman" w:hAnsi="Times New Roman" w:cs="Times New Roman"/>
          <w:color w:val="000000"/>
          <w:lang w:bidi="he-IL"/>
        </w:rPr>
        <w:t>施</w:t>
      </w:r>
      <w:r>
        <w:rPr>
          <w:rFonts w:hint="default" w:ascii="Times New Roman" w:hAnsi="Times New Roman" w:cs="Times New Roman"/>
          <w:color w:val="000000"/>
          <w:lang w:eastAsia="zh-CN" w:bidi="he-IL"/>
        </w:rPr>
        <w:t>，确保各项环境保护措施与</w:t>
      </w:r>
      <w:r>
        <w:rPr>
          <w:rFonts w:hint="default" w:ascii="Times New Roman" w:hAnsi="Times New Roman" w:cs="Times New Roman"/>
          <w:color w:val="000000"/>
          <w:lang w:bidi="he-IL"/>
        </w:rPr>
        <w:t>主体工程同时设计、同时施工、同时投入使用，确保污染物达标排放。</w:t>
      </w:r>
      <w:r>
        <w:rPr>
          <w:rFonts w:hint="default" w:ascii="Times New Roman" w:hAnsi="Times New Roman" w:cs="Times New Roman"/>
          <w:color w:val="000000"/>
          <w:lang w:eastAsia="zh-CN" w:bidi="he-IL"/>
        </w:rPr>
        <w:t>建设单位应重点做好以下工作：</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（一）向设计单位提供《报告表》和本批复文件，确保项目设计符合环境保护设计规范要求，落实防治环境污染和生态破坏的措施</w:t>
      </w:r>
      <w:r>
        <w:rPr>
          <w:rFonts w:hint="default" w:ascii="Times New Roman" w:hAnsi="Times New Roman" w:cs="Times New Roman"/>
          <w:color w:val="000000"/>
          <w:lang w:eastAsia="zh-CN" w:bidi="he-IL"/>
        </w:rPr>
        <w:t>以及环保设施投资概算</w:t>
      </w:r>
      <w:r>
        <w:rPr>
          <w:rFonts w:hint="default" w:ascii="Times New Roman" w:hAnsi="Times New Roman" w:cs="Times New Roman"/>
          <w:color w:val="000000"/>
          <w:lang w:bidi="he-IL"/>
        </w:rPr>
        <w:t>。</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（二）依据《报告表》和本批复文件，对项目建设过程中产生的废水、</w:t>
      </w:r>
      <w:r>
        <w:rPr>
          <w:rFonts w:hint="default" w:ascii="Times New Roman" w:hAnsi="Times New Roman" w:cs="Times New Roman"/>
          <w:color w:val="000000"/>
          <w:lang w:eastAsia="zh-CN" w:bidi="he-IL"/>
        </w:rPr>
        <w:t>废气、</w:t>
      </w:r>
      <w:r>
        <w:rPr>
          <w:rFonts w:hint="default" w:ascii="Times New Roman" w:hAnsi="Times New Roman" w:cs="Times New Roman"/>
          <w:color w:val="000000"/>
          <w:lang w:bidi="he-IL"/>
        </w:rPr>
        <w:t>固体废物、噪声等污染，</w:t>
      </w:r>
      <w:r>
        <w:rPr>
          <w:rFonts w:hint="default" w:ascii="Times New Roman" w:hAnsi="Times New Roman" w:cs="Times New Roman"/>
          <w:color w:val="000000"/>
          <w:lang w:eastAsia="zh-CN" w:bidi="he-IL"/>
        </w:rPr>
        <w:t>以及对</w:t>
      </w:r>
      <w:r>
        <w:rPr>
          <w:rFonts w:hint="default" w:ascii="Times New Roman" w:hAnsi="Times New Roman" w:cs="Times New Roman"/>
          <w:color w:val="000000"/>
          <w:lang w:bidi="he-IL"/>
        </w:rPr>
        <w:t>自然生态环境造成的破坏，采取相应的防治措施。</w:t>
      </w:r>
    </w:p>
    <w:p>
      <w:pPr>
        <w:pStyle w:val="144"/>
        <w:spacing w:line="500" w:lineRule="exact"/>
        <w:ind w:firstLine="480" w:firstLineChars="200"/>
        <w:jc w:val="both"/>
        <w:rPr>
          <w:rFonts w:hint="default" w:ascii="Times New Roman" w:hAnsi="Times New Roman" w:cs="Times New Roman"/>
          <w:color w:val="000000"/>
          <w:lang w:eastAsia="zh-CN" w:bidi="he-IL"/>
        </w:rPr>
      </w:pPr>
      <w:r>
        <w:rPr>
          <w:rFonts w:hint="default" w:ascii="Times New Roman" w:hAnsi="Times New Roman" w:cs="Times New Roman"/>
          <w:color w:val="000000"/>
          <w:lang w:bidi="he-IL"/>
        </w:rPr>
        <w:t>（三）</w:t>
      </w:r>
      <w:r>
        <w:rPr>
          <w:rFonts w:hint="default" w:ascii="Times New Roman" w:hAnsi="Times New Roman" w:cs="Times New Roman"/>
          <w:color w:val="000000"/>
          <w:lang w:eastAsia="zh-CN" w:bidi="he-IL"/>
        </w:rPr>
        <w:t>减缓项目建设环境影响的主要措施</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1、废水</w:t>
      </w:r>
      <w:r>
        <w:rPr>
          <w:rFonts w:hint="default" w:ascii="Times New Roman" w:hAnsi="Times New Roman" w:cs="Times New Roman"/>
          <w:color w:val="000000"/>
          <w:lang w:eastAsia="zh-CN" w:bidi="he-IL"/>
        </w:rPr>
        <w:t>。</w:t>
      </w:r>
      <w:r>
        <w:rPr>
          <w:rFonts w:hint="default" w:ascii="Times New Roman" w:hAnsi="Times New Roman" w:cs="Times New Roman"/>
          <w:color w:val="000000"/>
        </w:rPr>
        <w:t>项目营运期办公生活污水经化粪池预处理满足《污水综合排放</w:t>
      </w:r>
      <w:r>
        <w:rPr>
          <w:rFonts w:hint="default" w:ascii="Times New Roman" w:hAnsi="Times New Roman" w:cs="Times New Roman"/>
          <w:color w:val="000000"/>
          <w:lang w:val="en-US" w:eastAsia="zh-CN"/>
        </w:rPr>
        <w:t>标准</w:t>
      </w:r>
      <w:r>
        <w:rPr>
          <w:rFonts w:hint="default" w:ascii="Times New Roman" w:hAnsi="Times New Roman" w:cs="Times New Roman"/>
          <w:color w:val="000000"/>
        </w:rPr>
        <w:t>》（GB8978-1996）</w:t>
      </w:r>
      <w:r>
        <w:rPr>
          <w:rFonts w:hint="default" w:ascii="Times New Roman" w:hAnsi="Times New Roman" w:cs="Times New Roman"/>
          <w:color w:val="000000"/>
          <w:lang w:eastAsia="zh-CN"/>
        </w:rPr>
        <w:t>表</w:t>
      </w:r>
      <w:r>
        <w:rPr>
          <w:rFonts w:hint="default" w:ascii="Times New Roman" w:hAnsi="Times New Roman" w:cs="Times New Roman"/>
          <w:color w:val="000000"/>
          <w:lang w:val="en-US" w:eastAsia="zh-CN"/>
        </w:rPr>
        <w:t>4三级标准，再接入市政污水管网，进入信阳市第一污水处理厂深度处理，项目产生的酸碱废水经中和沉淀后回用生产不排放。</w:t>
      </w:r>
    </w:p>
    <w:p>
      <w:pPr>
        <w:pStyle w:val="144"/>
        <w:spacing w:line="500" w:lineRule="exact"/>
        <w:ind w:firstLine="480" w:firstLineChars="200"/>
        <w:rPr>
          <w:rFonts w:hint="default" w:ascii="Times New Roman" w:hAnsi="Times New Roman" w:cs="Times New Roman"/>
          <w:color w:val="000000"/>
          <w:lang w:eastAsia="zh-CN"/>
        </w:rPr>
      </w:pPr>
      <w:r>
        <w:rPr>
          <w:rFonts w:hint="default" w:ascii="Times New Roman" w:hAnsi="Times New Roman" w:cs="Times New Roman"/>
          <w:color w:val="000000"/>
          <w:lang w:bidi="he-IL"/>
        </w:rPr>
        <w:t>2、废气</w:t>
      </w:r>
      <w:r>
        <w:rPr>
          <w:rFonts w:hint="default" w:ascii="Times New Roman" w:hAnsi="Times New Roman" w:cs="Times New Roman"/>
          <w:color w:val="000000"/>
          <w:lang w:eastAsia="zh-CN" w:bidi="he-IL"/>
        </w:rPr>
        <w:t>。</w:t>
      </w:r>
      <w:r>
        <w:rPr>
          <w:rFonts w:hint="default" w:ascii="Times New Roman" w:hAnsi="Times New Roman" w:cs="Times New Roman"/>
          <w:color w:val="000000"/>
          <w:lang w:eastAsia="zh-CN"/>
        </w:rPr>
        <w:t>项目严格落实《报告表》中废气防治措施，加强硫酸雾和氮氧化物废气收集，废气经处理后</w:t>
      </w:r>
      <w:r>
        <w:rPr>
          <w:rFonts w:hint="default" w:ascii="Times New Roman" w:hAnsi="Times New Roman" w:cs="Times New Roman"/>
          <w:color w:val="000000"/>
        </w:rPr>
        <w:t>满足《大气污染物综合排放标准》（GB16297-1996）表2</w:t>
      </w:r>
      <w:r>
        <w:rPr>
          <w:rFonts w:hint="default" w:ascii="Times New Roman" w:hAnsi="Times New Roman" w:cs="Times New Roman"/>
          <w:color w:val="000000"/>
          <w:lang w:eastAsia="zh-CN"/>
        </w:rPr>
        <w:t>标准，实现达标排放。</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bidi="he-IL"/>
        </w:rPr>
        <w:t>3、噪声。</w:t>
      </w:r>
      <w:r>
        <w:rPr>
          <w:rFonts w:hint="default" w:ascii="Times New Roman" w:hAnsi="Times New Roman" w:cs="Times New Roman"/>
          <w:color w:val="000000"/>
          <w:lang w:eastAsia="zh-CN" w:bidi="he-IL"/>
        </w:rPr>
        <w:t>运营期噪声应通过厂房屏蔽、</w:t>
      </w:r>
      <w:r>
        <w:rPr>
          <w:rFonts w:hint="default" w:ascii="Times New Roman" w:hAnsi="Times New Roman" w:cs="Times New Roman"/>
          <w:color w:val="000000"/>
          <w:lang w:bidi="he-IL"/>
        </w:rPr>
        <w:t>基础减</w:t>
      </w:r>
      <w:r>
        <w:rPr>
          <w:rFonts w:hint="default" w:ascii="Times New Roman" w:hAnsi="Times New Roman" w:cs="Times New Roman"/>
          <w:color w:val="000000"/>
          <w:lang w:eastAsia="zh-CN" w:bidi="he-IL"/>
        </w:rPr>
        <w:t>振</w:t>
      </w:r>
      <w:r>
        <w:rPr>
          <w:rFonts w:hint="default" w:ascii="Times New Roman" w:hAnsi="Times New Roman" w:cs="Times New Roman"/>
          <w:color w:val="000000"/>
          <w:lang w:bidi="he-IL"/>
        </w:rPr>
        <w:t>等</w:t>
      </w:r>
      <w:r>
        <w:rPr>
          <w:rFonts w:hint="default" w:ascii="Times New Roman" w:hAnsi="Times New Roman" w:cs="Times New Roman"/>
          <w:color w:val="000000"/>
          <w:lang w:eastAsia="zh-CN" w:bidi="he-IL"/>
        </w:rPr>
        <w:t>降噪</w:t>
      </w:r>
      <w:r>
        <w:rPr>
          <w:rFonts w:hint="default" w:ascii="Times New Roman" w:hAnsi="Times New Roman" w:cs="Times New Roman"/>
          <w:color w:val="000000"/>
          <w:lang w:bidi="he-IL"/>
        </w:rPr>
        <w:t>措施</w:t>
      </w:r>
      <w:r>
        <w:rPr>
          <w:rFonts w:hint="default" w:ascii="Times New Roman" w:hAnsi="Times New Roman" w:cs="Times New Roman"/>
          <w:color w:val="000000"/>
          <w:lang w:eastAsia="zh-CN" w:bidi="he-IL"/>
        </w:rPr>
        <w:t>治理后</w:t>
      </w:r>
      <w:r>
        <w:rPr>
          <w:rFonts w:hint="default" w:ascii="Times New Roman" w:hAnsi="Times New Roman" w:cs="Times New Roman"/>
          <w:color w:val="000000"/>
          <w:lang w:bidi="he-IL"/>
        </w:rPr>
        <w:t>，</w:t>
      </w:r>
      <w:r>
        <w:rPr>
          <w:rFonts w:hint="default" w:ascii="Times New Roman" w:hAnsi="Times New Roman" w:cs="Times New Roman"/>
          <w:color w:val="000000"/>
          <w:lang w:eastAsia="zh-CN" w:bidi="he-IL"/>
        </w:rPr>
        <w:t>满足</w:t>
      </w:r>
      <w:r>
        <w:rPr>
          <w:rFonts w:hint="default" w:ascii="Times New Roman" w:hAnsi="Times New Roman" w:cs="Times New Roman"/>
          <w:color w:val="000000"/>
          <w:lang w:bidi="he-IL"/>
        </w:rPr>
        <w:t>《工业企业厂界环境噪声排放标准》（GB12348-2008)3类标准</w:t>
      </w:r>
      <w:r>
        <w:rPr>
          <w:rFonts w:hint="default" w:ascii="Times New Roman" w:hAnsi="Times New Roman" w:cs="Times New Roman"/>
          <w:color w:val="000000"/>
          <w:lang w:eastAsia="zh-CN" w:bidi="he-IL"/>
        </w:rPr>
        <w:t>要求</w:t>
      </w:r>
      <w:r>
        <w:rPr>
          <w:rFonts w:hint="default" w:ascii="Times New Roman" w:hAnsi="Times New Roman" w:cs="Times New Roman"/>
          <w:color w:val="000000"/>
          <w:lang w:bidi="he-IL"/>
        </w:rPr>
        <w:t>。</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bidi="he-IL"/>
        </w:rPr>
        <w:t>4、固废：</w:t>
      </w:r>
      <w:r>
        <w:rPr>
          <w:rFonts w:hint="default" w:ascii="Times New Roman" w:hAnsi="Times New Roman" w:cs="Times New Roman"/>
          <w:color w:val="000000"/>
          <w:lang w:eastAsia="zh-CN" w:bidi="he-IL"/>
        </w:rPr>
        <w:t>分类收集、存储，分类类处置利用。一般固废满足《一般工业固体废物贮存、处置场污染控制标准》（</w:t>
      </w:r>
      <w:r>
        <w:rPr>
          <w:rFonts w:hint="default" w:ascii="Times New Roman" w:hAnsi="Times New Roman" w:cs="Times New Roman"/>
          <w:color w:val="000000"/>
          <w:lang w:val="en-US" w:eastAsia="zh-CN" w:bidi="he-IL"/>
        </w:rPr>
        <w:t>GB18599-2001</w:t>
      </w:r>
      <w:r>
        <w:rPr>
          <w:rFonts w:hint="default" w:ascii="Times New Roman" w:hAnsi="Times New Roman" w:cs="Times New Roman"/>
          <w:color w:val="000000"/>
          <w:lang w:eastAsia="zh-CN" w:bidi="he-IL"/>
        </w:rPr>
        <w:t>）及修改清单要求，危险废物暂存间满足《危险废物贮存污染控制标准》（GB18597-2001)及其修改单要求，避免对环境造成二次污染。</w:t>
      </w:r>
    </w:p>
    <w:p>
      <w:pPr>
        <w:pStyle w:val="144"/>
        <w:spacing w:line="500" w:lineRule="exact"/>
        <w:ind w:firstLine="480" w:firstLineChars="200"/>
        <w:rPr>
          <w:rFonts w:hint="default" w:ascii="Times New Roman" w:hAnsi="Times New Roman" w:cs="Times New Roman"/>
          <w:color w:val="000000"/>
          <w:lang w:eastAsia="zh-CN" w:bidi="he-IL"/>
        </w:rPr>
      </w:pPr>
      <w:r>
        <w:rPr>
          <w:rFonts w:hint="default" w:ascii="Times New Roman" w:hAnsi="Times New Roman" w:cs="Times New Roman"/>
          <w:color w:val="000000"/>
          <w:lang w:bidi="he-IL"/>
        </w:rPr>
        <w:t>（四）</w:t>
      </w:r>
      <w:r>
        <w:rPr>
          <w:rFonts w:hint="default" w:ascii="Times New Roman" w:hAnsi="Times New Roman" w:cs="Times New Roman"/>
          <w:color w:val="000000"/>
          <w:lang w:eastAsia="zh-CN" w:bidi="he-IL"/>
        </w:rPr>
        <w:t>加强施工期、运营期管理；严格污染事故应急防范措施，加强日常管理，防止发生污染事故。</w:t>
      </w:r>
    </w:p>
    <w:p>
      <w:pPr>
        <w:pStyle w:val="144"/>
        <w:spacing w:line="500" w:lineRule="exact"/>
        <w:ind w:firstLine="480" w:firstLineChars="200"/>
        <w:rPr>
          <w:rFonts w:hint="default" w:ascii="Times New Roman" w:hAnsi="Times New Roman" w:eastAsia="宋体" w:cs="Times New Roman"/>
          <w:color w:val="000000"/>
          <w:lang w:eastAsia="zh-CN" w:bidi="he-IL"/>
        </w:rPr>
      </w:pPr>
      <w:r>
        <w:rPr>
          <w:rFonts w:hint="default" w:ascii="Times New Roman" w:hAnsi="Times New Roman" w:cs="Times New Roman"/>
          <w:color w:val="000000"/>
          <w:lang w:bidi="he-IL"/>
        </w:rPr>
        <w:t>（五）</w:t>
      </w:r>
      <w:r>
        <w:rPr>
          <w:rFonts w:hint="default" w:ascii="Times New Roman" w:hAnsi="Times New Roman" w:cs="Times New Roman"/>
          <w:color w:val="000000"/>
          <w:lang w:eastAsia="zh-CN" w:bidi="he-IL"/>
        </w:rPr>
        <w:t>配套设置无组织、有组织排放监测设备，加强对污染物的监测。</w:t>
      </w:r>
    </w:p>
    <w:p>
      <w:pPr>
        <w:pStyle w:val="144"/>
        <w:spacing w:line="500" w:lineRule="exact"/>
        <w:ind w:firstLine="480" w:firstLineChars="200"/>
        <w:rPr>
          <w:rFonts w:hint="default" w:ascii="Times New Roman" w:hAnsi="Times New Roman" w:cs="Times New Roman"/>
          <w:color w:val="000000"/>
          <w:lang w:eastAsia="zh-CN" w:bidi="he-IL"/>
        </w:rPr>
      </w:pPr>
      <w:r>
        <w:rPr>
          <w:rFonts w:hint="default" w:ascii="Times New Roman" w:hAnsi="Times New Roman" w:cs="Times New Roman"/>
          <w:color w:val="000000"/>
          <w:lang w:eastAsia="zh-CN" w:bidi="he-IL"/>
        </w:rPr>
        <w:t>四、在工程建设过程中，建立与公众的交流平台，加强与周边公众的沟通，及时解决公众担忧的环境问题，满足公众的合理环境诉求。</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eastAsia="zh-CN" w:bidi="he-IL"/>
        </w:rPr>
        <w:t>五、</w:t>
      </w:r>
      <w:r>
        <w:rPr>
          <w:rFonts w:hint="default" w:ascii="Times New Roman" w:hAnsi="Times New Roman" w:cs="Times New Roman"/>
          <w:color w:val="000000"/>
          <w:lang w:bidi="he-IL"/>
        </w:rPr>
        <w:t>如果今后国家或我省颁布污染物排放限值的新标准，届时你</w:t>
      </w:r>
      <w:r>
        <w:rPr>
          <w:rFonts w:hint="default" w:ascii="Times New Roman" w:hAnsi="Times New Roman" w:cs="Times New Roman"/>
          <w:color w:val="000000"/>
          <w:lang w:eastAsia="zh-CN" w:bidi="he-IL"/>
        </w:rPr>
        <w:t>单位</w:t>
      </w:r>
      <w:r>
        <w:rPr>
          <w:rFonts w:hint="default" w:ascii="Times New Roman" w:hAnsi="Times New Roman" w:cs="Times New Roman"/>
          <w:color w:val="000000"/>
          <w:lang w:bidi="he-IL"/>
        </w:rPr>
        <w:t>司应按新的排放标准执行。</w:t>
      </w:r>
    </w:p>
    <w:p>
      <w:pPr>
        <w:pStyle w:val="144"/>
        <w:spacing w:line="500" w:lineRule="exact"/>
        <w:ind w:firstLine="480" w:firstLineChars="200"/>
        <w:rPr>
          <w:rFonts w:hint="default" w:ascii="Times New Roman" w:hAnsi="Times New Roman" w:cs="Times New Roman"/>
          <w:color w:val="000000"/>
          <w:lang w:eastAsia="zh-CN" w:bidi="he-IL"/>
        </w:rPr>
      </w:pPr>
      <w:r>
        <w:rPr>
          <w:rFonts w:hint="default" w:ascii="Times New Roman" w:hAnsi="Times New Roman" w:cs="Times New Roman"/>
          <w:color w:val="000000"/>
          <w:lang w:eastAsia="zh-CN" w:bidi="he-IL"/>
        </w:rPr>
        <w:t>六</w:t>
      </w:r>
      <w:r>
        <w:rPr>
          <w:rFonts w:hint="default" w:ascii="Times New Roman" w:hAnsi="Times New Roman" w:cs="Times New Roman"/>
          <w:color w:val="000000"/>
          <w:lang w:bidi="he-IL"/>
        </w:rPr>
        <w:t>、</w:t>
      </w:r>
      <w:r>
        <w:rPr>
          <w:rFonts w:hint="default" w:ascii="Times New Roman" w:hAnsi="Times New Roman" w:cs="Times New Roman"/>
          <w:color w:val="000000"/>
          <w:lang w:eastAsia="zh-CN" w:bidi="he-IL"/>
        </w:rPr>
        <w:t>工程建设</w:t>
      </w:r>
      <w:r>
        <w:rPr>
          <w:rFonts w:hint="default" w:ascii="Times New Roman" w:hAnsi="Times New Roman" w:cs="Times New Roman"/>
          <w:color w:val="000000"/>
          <w:lang w:bidi="he-IL"/>
        </w:rPr>
        <w:t>必须严格执行环</w:t>
      </w:r>
      <w:r>
        <w:rPr>
          <w:rFonts w:hint="default" w:ascii="Times New Roman" w:hAnsi="Times New Roman" w:cs="Times New Roman"/>
          <w:color w:val="000000"/>
          <w:lang w:eastAsia="zh-CN" w:bidi="he-IL"/>
        </w:rPr>
        <w:t>境</w:t>
      </w:r>
      <w:r>
        <w:rPr>
          <w:rFonts w:hint="default" w:ascii="Times New Roman" w:hAnsi="Times New Roman" w:cs="Times New Roman"/>
          <w:color w:val="000000"/>
          <w:lang w:bidi="he-IL"/>
        </w:rPr>
        <w:t>保</w:t>
      </w:r>
      <w:r>
        <w:rPr>
          <w:rFonts w:hint="default" w:ascii="Times New Roman" w:hAnsi="Times New Roman" w:cs="Times New Roman"/>
          <w:color w:val="000000"/>
          <w:lang w:eastAsia="zh-CN" w:bidi="he-IL"/>
        </w:rPr>
        <w:t>护</w:t>
      </w:r>
      <w:r>
        <w:rPr>
          <w:rFonts w:hint="default" w:ascii="Times New Roman" w:hAnsi="Times New Roman" w:cs="Times New Roman"/>
          <w:color w:val="000000"/>
          <w:lang w:bidi="he-IL"/>
        </w:rPr>
        <w:t>“三同时”制度，落实各</w:t>
      </w:r>
      <w:r>
        <w:rPr>
          <w:rFonts w:hint="default" w:ascii="Times New Roman" w:hAnsi="Times New Roman" w:cs="Times New Roman"/>
          <w:color w:val="000000"/>
          <w:lang w:eastAsia="zh-CN" w:bidi="he-IL"/>
        </w:rPr>
        <w:t>项环境保护措施。</w:t>
      </w:r>
    </w:p>
    <w:p>
      <w:pPr>
        <w:pStyle w:val="144"/>
        <w:spacing w:line="500" w:lineRule="exact"/>
        <w:ind w:firstLine="480" w:firstLineChars="200"/>
        <w:rPr>
          <w:rFonts w:hint="default" w:ascii="Times New Roman" w:hAnsi="Times New Roman" w:cs="Times New Roman"/>
          <w:color w:val="000000"/>
          <w:lang w:eastAsia="zh-CN" w:bidi="he-IL"/>
        </w:rPr>
      </w:pPr>
      <w:r>
        <w:rPr>
          <w:rFonts w:hint="default" w:ascii="Times New Roman" w:hAnsi="Times New Roman" w:cs="Times New Roman"/>
          <w:color w:val="000000"/>
          <w:lang w:eastAsia="zh-CN" w:bidi="he-IL"/>
        </w:rPr>
        <w:t>七、你单位在本项目环评文件报批过程中，如有瞒报、虚报、漏报情形，须承担由此产生的一切法律责任。</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eastAsia="zh-CN" w:bidi="he-IL"/>
        </w:rPr>
        <w:t>八、</w:t>
      </w:r>
      <w:r>
        <w:rPr>
          <w:rFonts w:hint="default" w:ascii="Times New Roman" w:hAnsi="Times New Roman" w:cs="Times New Roman"/>
          <w:color w:val="000000"/>
          <w:lang w:bidi="he-IL"/>
        </w:rPr>
        <w:t>本批复</w:t>
      </w:r>
      <w:r>
        <w:rPr>
          <w:rFonts w:hint="default" w:ascii="Times New Roman" w:hAnsi="Times New Roman" w:cs="Times New Roman"/>
          <w:color w:val="000000"/>
          <w:lang w:eastAsia="zh-CN" w:bidi="he-IL"/>
        </w:rPr>
        <w:t>自下达之日起</w:t>
      </w:r>
      <w:r>
        <w:rPr>
          <w:rFonts w:hint="default" w:ascii="Times New Roman" w:hAnsi="Times New Roman" w:cs="Times New Roman"/>
          <w:color w:val="000000"/>
          <w:lang w:bidi="he-IL"/>
        </w:rPr>
        <w:t>5年</w:t>
      </w:r>
      <w:r>
        <w:rPr>
          <w:rFonts w:hint="default" w:ascii="Times New Roman" w:hAnsi="Times New Roman" w:cs="Times New Roman"/>
          <w:color w:val="000000"/>
          <w:lang w:eastAsia="zh-CN" w:bidi="he-IL"/>
        </w:rPr>
        <w:t>内有效</w:t>
      </w:r>
      <w:r>
        <w:rPr>
          <w:rFonts w:hint="default" w:ascii="Times New Roman" w:hAnsi="Times New Roman" w:cs="Times New Roman"/>
          <w:color w:val="000000"/>
          <w:lang w:bidi="he-IL"/>
        </w:rPr>
        <w:t>。项目的性质、规模、地点、采用的生产工艺或者防治污染、防止生态破坏的措施发生重大变动的，应当重新报批建设项目的环境影响评价文件。</w:t>
      </w:r>
    </w:p>
    <w:p>
      <w:pPr>
        <w:pStyle w:val="144"/>
        <w:spacing w:line="500" w:lineRule="exact"/>
        <w:ind w:firstLine="480" w:firstLineChars="200"/>
        <w:rPr>
          <w:rFonts w:hint="default" w:ascii="Times New Roman" w:hAnsi="Times New Roman" w:eastAsia="宋体" w:cs="Times New Roman"/>
          <w:color w:val="000000"/>
          <w:lang w:val="en-US" w:eastAsia="zh-CN" w:bidi="he-IL"/>
        </w:rPr>
      </w:pPr>
      <w:r>
        <w:rPr>
          <w:rFonts w:hint="default" w:ascii="Times New Roman" w:hAnsi="Times New Roman" w:cs="Times New Roman"/>
          <w:color w:val="000000"/>
          <w:lang w:eastAsia="zh-CN" w:bidi="he-IL"/>
        </w:rPr>
        <w:t>九、你单位应在收到本批复后</w:t>
      </w:r>
      <w:r>
        <w:rPr>
          <w:rFonts w:hint="default" w:ascii="Times New Roman" w:hAnsi="Times New Roman" w:cs="Times New Roman"/>
          <w:color w:val="000000"/>
          <w:lang w:val="en-US" w:eastAsia="zh-CN" w:bidi="he-IL"/>
        </w:rPr>
        <w:t>10个工作日内，将批准后的《报告表》及其批复送信阳高新技术产业开发区环境保护局。</w:t>
      </w:r>
    </w:p>
    <w:p>
      <w:pPr>
        <w:pStyle w:val="144"/>
        <w:spacing w:line="500" w:lineRule="exact"/>
        <w:ind w:firstLine="480" w:firstLineChars="200"/>
        <w:rPr>
          <w:rFonts w:hint="default" w:ascii="Times New Roman" w:hAnsi="Times New Roman" w:cs="Times New Roman"/>
          <w:color w:val="000000"/>
          <w:lang w:eastAsia="zh-CN" w:bidi="he-IL"/>
        </w:rPr>
      </w:pPr>
    </w:p>
    <w:bookmarkEnd w:id="26"/>
    <w:p>
      <w:pPr>
        <w:spacing w:afterLines="50" w:line="500" w:lineRule="exact"/>
        <w:rPr>
          <w:rFonts w:hint="default" w:ascii="Times New Roman" w:hAnsi="Times New Roman" w:eastAsia="黑体" w:cs="Times New Roman"/>
          <w:color w:val="000000"/>
          <w:sz w:val="28"/>
          <w:szCs w:val="28"/>
        </w:rPr>
      </w:pPr>
      <w:bookmarkStart w:id="27" w:name="_Toc2083"/>
    </w:p>
    <w:p>
      <w:pPr>
        <w:spacing w:afterLines="50" w:line="500" w:lineRule="exact"/>
        <w:jc w:val="right"/>
        <w:rPr>
          <w:rFonts w:hint="default" w:ascii="Times New Roman" w:hAnsi="Times New Roman" w:eastAsia="宋体" w:cs="Times New Roman"/>
          <w:color w:val="000000"/>
          <w:kern w:val="0"/>
          <w:sz w:val="24"/>
          <w:szCs w:val="24"/>
          <w:lang w:eastAsia="zh-CN" w:bidi="he-IL"/>
        </w:rPr>
      </w:pPr>
      <w:r>
        <w:rPr>
          <w:rFonts w:hint="default" w:ascii="Times New Roman" w:hAnsi="Times New Roman" w:cs="Times New Roman"/>
          <w:color w:val="000000"/>
          <w:kern w:val="0"/>
          <w:sz w:val="24"/>
          <w:szCs w:val="24"/>
          <w:lang w:eastAsia="zh-CN" w:bidi="he-IL"/>
        </w:rPr>
        <w:t>信阳市生态环境局</w:t>
      </w:r>
    </w:p>
    <w:p>
      <w:pPr>
        <w:spacing w:afterLines="50" w:line="500" w:lineRule="exact"/>
        <w:jc w:val="right"/>
        <w:rPr>
          <w:rFonts w:hint="default" w:ascii="Times New Roman" w:hAnsi="Times New Roman" w:cs="Times New Roman"/>
          <w:color w:val="000000"/>
          <w:kern w:val="0"/>
          <w:sz w:val="24"/>
          <w:szCs w:val="24"/>
          <w:lang w:bidi="he-IL"/>
        </w:rPr>
      </w:pPr>
      <w:r>
        <w:rPr>
          <w:rFonts w:hint="default" w:ascii="Times New Roman" w:hAnsi="Times New Roman" w:cs="Times New Roman"/>
          <w:color w:val="000000"/>
          <w:kern w:val="0"/>
          <w:sz w:val="24"/>
          <w:szCs w:val="24"/>
          <w:lang w:bidi="he-IL"/>
        </w:rPr>
        <w:t>2021年</w:t>
      </w:r>
      <w:r>
        <w:rPr>
          <w:rFonts w:hint="default" w:ascii="Times New Roman" w:hAnsi="Times New Roman" w:cs="Times New Roman"/>
          <w:color w:val="000000"/>
          <w:kern w:val="0"/>
          <w:sz w:val="24"/>
          <w:szCs w:val="24"/>
          <w:lang w:val="en-US" w:eastAsia="zh-CN" w:bidi="he-IL"/>
        </w:rPr>
        <w:t>6</w:t>
      </w:r>
      <w:r>
        <w:rPr>
          <w:rFonts w:hint="default" w:ascii="Times New Roman" w:hAnsi="Times New Roman" w:cs="Times New Roman"/>
          <w:color w:val="000000"/>
          <w:kern w:val="0"/>
          <w:sz w:val="24"/>
          <w:szCs w:val="24"/>
          <w:lang w:bidi="he-IL"/>
        </w:rPr>
        <w:t>月</w:t>
      </w:r>
      <w:r>
        <w:rPr>
          <w:rFonts w:hint="default" w:ascii="Times New Roman" w:hAnsi="Times New Roman" w:cs="Times New Roman"/>
          <w:color w:val="000000"/>
          <w:kern w:val="0"/>
          <w:sz w:val="24"/>
          <w:szCs w:val="24"/>
          <w:lang w:val="en-US" w:eastAsia="zh-CN" w:bidi="he-IL"/>
        </w:rPr>
        <w:t>30</w:t>
      </w:r>
      <w:r>
        <w:rPr>
          <w:rFonts w:hint="default" w:ascii="Times New Roman" w:hAnsi="Times New Roman" w:cs="Times New Roman"/>
          <w:color w:val="000000"/>
          <w:kern w:val="0"/>
          <w:sz w:val="24"/>
          <w:szCs w:val="24"/>
          <w:lang w:bidi="he-IL"/>
        </w:rPr>
        <w:t>日</w:t>
      </w: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6、验收执行标准</w:t>
      </w:r>
    </w:p>
    <w:p>
      <w:pPr>
        <w:spacing w:line="520" w:lineRule="exact"/>
        <w:outlineLvl w:val="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6.1 污染物排放标准</w:t>
      </w:r>
    </w:p>
    <w:p>
      <w:pPr>
        <w:pStyle w:val="13"/>
        <w:spacing w:line="520" w:lineRule="exact"/>
        <w:ind w:firstLine="600" w:firstLineChars="250"/>
        <w:rPr>
          <w:rFonts w:hint="default" w:ascii="Times New Roman" w:hAnsi="Times New Roman" w:eastAsia="黑体" w:cs="Times New Roman"/>
          <w:sz w:val="24"/>
        </w:rPr>
      </w:pPr>
      <w:r>
        <w:rPr>
          <w:rFonts w:hint="default" w:ascii="Times New Roman" w:hAnsi="Times New Roman" w:eastAsia="黑体" w:cs="Times New Roman"/>
          <w:sz w:val="24"/>
        </w:rPr>
        <w:t>表6.1-1                   污染物排放标准</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191"/>
        <w:gridCol w:w="1299"/>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exact"/>
              <w:ind w:left="-105" w:leftChars="-50" w:right="-105" w:rightChars="-50" w:firstLine="0" w:firstLineChars="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污染物</w:t>
            </w:r>
          </w:p>
        </w:tc>
        <w:tc>
          <w:tcPr>
            <w:tcW w:w="1872"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42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标准名称及级（类）别</w:t>
            </w:r>
          </w:p>
        </w:tc>
        <w:tc>
          <w:tcPr>
            <w:tcW w:w="762"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污染因子</w:t>
            </w:r>
          </w:p>
        </w:tc>
        <w:tc>
          <w:tcPr>
            <w:tcW w:w="1954"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42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废气</w:t>
            </w:r>
          </w:p>
        </w:tc>
        <w:tc>
          <w:tcPr>
            <w:tcW w:w="1872" w:type="pct"/>
            <w:vMerge w:val="restart"/>
            <w:tcBorders>
              <w:top w:val="single" w:color="auto" w:sz="4" w:space="0"/>
              <w:left w:val="nil"/>
              <w:right w:val="single" w:color="auto" w:sz="4" w:space="0"/>
            </w:tcBorders>
            <w:vAlign w:val="center"/>
          </w:tcPr>
          <w:p>
            <w:pPr>
              <w:pStyle w:val="124"/>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《大气污染物综合排放标准》（GB16297-1996）表2</w:t>
            </w: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Cs w:val="21"/>
              </w:rPr>
              <w:t>硫酸雾</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有组织</w:t>
            </w:r>
            <w:r>
              <w:rPr>
                <w:rFonts w:hint="default" w:ascii="Times New Roman" w:hAnsi="Times New Roman" w:cs="Times New Roman" w:eastAsiaTheme="minorEastAsia"/>
                <w:bCs/>
                <w:szCs w:val="21"/>
              </w:rPr>
              <w:t>（二级）</w:t>
            </w:r>
            <w:r>
              <w:rPr>
                <w:rFonts w:hint="default" w:ascii="Times New Roman" w:hAnsi="Times New Roman" w:cs="Times New Roman" w:eastAsiaTheme="minorEastAsia"/>
                <w:szCs w:val="21"/>
              </w:rPr>
              <w:t>：45mg/m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（15m）</w:t>
            </w:r>
          </w:p>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排放速率1.5kg/h（15m）；</w:t>
            </w:r>
          </w:p>
          <w:p>
            <w:pPr>
              <w:adjustRightInd w:val="0"/>
              <w:snapToGrid w:val="0"/>
              <w:spacing w:line="360" w:lineRule="exact"/>
              <w:ind w:left="-105" w:leftChars="-50" w:right="-105" w:rightChars="-50"/>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szCs w:val="21"/>
              </w:rPr>
              <w:t>无组织：1.2mg/m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jc w:val="center"/>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Cs w:val="21"/>
              </w:rPr>
              <w:t>硝酸雾（以NOx计）</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有组织</w:t>
            </w:r>
            <w:r>
              <w:rPr>
                <w:rFonts w:hint="default" w:ascii="Times New Roman" w:hAnsi="Times New Roman" w:cs="Times New Roman" w:eastAsiaTheme="minorEastAsia"/>
                <w:bCs/>
                <w:szCs w:val="21"/>
              </w:rPr>
              <w:t>（二级）</w:t>
            </w:r>
            <w:r>
              <w:rPr>
                <w:rFonts w:hint="default" w:ascii="Times New Roman" w:hAnsi="Times New Roman" w:cs="Times New Roman" w:eastAsiaTheme="minorEastAsia"/>
                <w:szCs w:val="21"/>
              </w:rPr>
              <w:t>：240mg/m</w:t>
            </w:r>
            <w:r>
              <w:rPr>
                <w:rFonts w:hint="default" w:ascii="Times New Roman" w:hAnsi="Times New Roman" w:cs="Times New Roman" w:eastAsiaTheme="minorEastAsia"/>
                <w:szCs w:val="21"/>
                <w:vertAlign w:val="superscript"/>
              </w:rPr>
              <w:t>3</w:t>
            </w:r>
            <w:r>
              <w:rPr>
                <w:rFonts w:hint="default" w:ascii="Times New Roman" w:hAnsi="Times New Roman" w:cs="Times New Roman" w:eastAsiaTheme="minorEastAsia"/>
                <w:szCs w:val="21"/>
              </w:rPr>
              <w:t>（15m）</w:t>
            </w:r>
          </w:p>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排放速率0.77kg/h（15m）；</w:t>
            </w:r>
          </w:p>
          <w:p>
            <w:pPr>
              <w:adjustRightInd w:val="0"/>
              <w:snapToGrid w:val="0"/>
              <w:spacing w:line="360" w:lineRule="exact"/>
              <w:ind w:left="-105" w:leftChars="-50" w:right="-105" w:rightChars="-50"/>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szCs w:val="21"/>
              </w:rPr>
              <w:t>无组织：0.12mg/m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bCs/>
                <w:szCs w:val="21"/>
              </w:rPr>
            </w:pPr>
          </w:p>
        </w:tc>
        <w:tc>
          <w:tcPr>
            <w:tcW w:w="1872" w:type="pct"/>
            <w:vMerge w:val="continue"/>
            <w:tcBorders>
              <w:left w:val="nil"/>
              <w:bottom w:val="single" w:color="auto" w:sz="4" w:space="0"/>
              <w:right w:val="single" w:color="auto" w:sz="4" w:space="0"/>
            </w:tcBorders>
            <w:vAlign w:val="center"/>
          </w:tcPr>
          <w:p>
            <w:pPr>
              <w:jc w:val="center"/>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颗粒物</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无组织：</w:t>
            </w:r>
            <w:r>
              <w:rPr>
                <w:rFonts w:hint="default" w:ascii="Times New Roman" w:hAnsi="Times New Roman" w:cs="Times New Roman" w:eastAsiaTheme="minorEastAsia"/>
                <w:szCs w:val="21"/>
                <w:lang w:val="en-US" w:eastAsia="zh-CN"/>
              </w:rPr>
              <w:t>1.0</w:t>
            </w:r>
            <w:r>
              <w:rPr>
                <w:rFonts w:hint="default" w:ascii="Times New Roman" w:hAnsi="Times New Roman" w:cs="Times New Roman" w:eastAsiaTheme="minorEastAsia"/>
                <w:szCs w:val="21"/>
              </w:rPr>
              <w:t>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1"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bCs/>
                <w:szCs w:val="21"/>
              </w:rPr>
            </w:pPr>
          </w:p>
        </w:tc>
        <w:tc>
          <w:tcPr>
            <w:tcW w:w="1872" w:type="pct"/>
            <w:tcBorders>
              <w:top w:val="single" w:color="auto" w:sz="4" w:space="0"/>
              <w:left w:val="nil"/>
              <w:bottom w:val="single" w:color="auto" w:sz="4" w:space="0"/>
              <w:right w:val="single" w:color="auto" w:sz="4" w:space="0"/>
            </w:tcBorders>
            <w:vAlign w:val="center"/>
          </w:tcPr>
          <w:p>
            <w:pPr>
              <w:pStyle w:val="124"/>
              <w:spacing w:line="360" w:lineRule="exac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sz w:val="21"/>
                <w:szCs w:val="21"/>
              </w:rPr>
              <w:t>《恶臭污染物排放标准》（GB14554-1993）</w:t>
            </w:r>
          </w:p>
        </w:tc>
        <w:tc>
          <w:tcPr>
            <w:tcW w:w="76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氨</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有组织排放速率：4.9kg/h</w:t>
            </w:r>
            <w:r>
              <w:rPr>
                <w:rFonts w:hint="default" w:ascii="Times New Roman" w:hAnsi="Times New Roman" w:cs="Times New Roman" w:eastAsiaTheme="minorEastAsia"/>
                <w:bCs/>
                <w:szCs w:val="21"/>
              </w:rPr>
              <w:t>（15m）</w:t>
            </w:r>
          </w:p>
          <w:p>
            <w:pPr>
              <w:adjustRightInd w:val="0"/>
              <w:snapToGrid w:val="0"/>
              <w:spacing w:line="360" w:lineRule="exact"/>
              <w:ind w:left="-105" w:leftChars="-50" w:right="-105" w:rightChars="-50" w:firstLine="210" w:firstLineChars="10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无组织</w:t>
            </w:r>
            <w:r>
              <w:rPr>
                <w:rFonts w:hint="default" w:ascii="Times New Roman" w:hAnsi="Times New Roman" w:cs="Times New Roman" w:eastAsiaTheme="minorEastAsia"/>
                <w:bCs/>
                <w:szCs w:val="21"/>
              </w:rPr>
              <w:t>（二级）</w:t>
            </w:r>
            <w:r>
              <w:rPr>
                <w:rFonts w:hint="default" w:ascii="Times New Roman" w:hAnsi="Times New Roman" w:cs="Times New Roman" w:eastAsiaTheme="minorEastAsia"/>
                <w:szCs w:val="21"/>
              </w:rPr>
              <w:t>：1.5mg/m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restart"/>
            <w:tcBorders>
              <w:top w:val="single" w:color="auto" w:sz="4" w:space="0"/>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废水</w:t>
            </w:r>
          </w:p>
        </w:tc>
        <w:tc>
          <w:tcPr>
            <w:tcW w:w="1872" w:type="pct"/>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color w:val="000000"/>
                <w:kern w:val="0"/>
                <w:szCs w:val="21"/>
              </w:rPr>
              <w:t>《污水综合排放标准》（GB8978-1996）</w:t>
            </w:r>
            <w:r>
              <w:rPr>
                <w:rFonts w:hint="default" w:ascii="Times New Roman" w:hAnsi="Times New Roman" w:cs="Times New Roman"/>
                <w:szCs w:val="21"/>
              </w:rPr>
              <w:t>表4三级标准</w:t>
            </w: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pH</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COD</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default"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BOD</w:t>
            </w:r>
            <w:r>
              <w:rPr>
                <w:rFonts w:hint="default" w:ascii="Times New Roman" w:hAnsi="Times New Roman" w:cs="Times New Roman" w:eastAsiaTheme="minorEastAsia"/>
                <w:szCs w:val="21"/>
                <w:vertAlign w:val="subscript"/>
              </w:rPr>
              <w:t>5</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r>
              <w:rPr>
                <w:rFonts w:hint="default"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SS</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400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bottom w:val="single" w:color="auto" w:sz="4" w:space="0"/>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NH</w:t>
            </w:r>
            <w:r>
              <w:rPr>
                <w:rFonts w:hint="default" w:ascii="Times New Roman" w:hAnsi="Times New Roman" w:cs="Times New Roman" w:eastAsiaTheme="minorEastAsia"/>
                <w:szCs w:val="21"/>
                <w:vertAlign w:val="subscript"/>
              </w:rPr>
              <w:t>3</w:t>
            </w:r>
            <w:r>
              <w:rPr>
                <w:rFonts w:hint="default" w:ascii="Times New Roman" w:hAnsi="Times New Roman" w:cs="Times New Roman" w:eastAsiaTheme="minorEastAsia"/>
                <w:szCs w:val="21"/>
              </w:rPr>
              <w:t>-N</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w:t>
            </w:r>
            <w:r>
              <w:rPr>
                <w:rFonts w:hint="default" w:ascii="Times New Roman" w:hAnsi="Times New Roman" w:cs="Times New Roman" w:eastAsiaTheme="minorEastAsia"/>
                <w:szCs w:val="21"/>
              </w:rPr>
              <w:t>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872" w:type="pct"/>
            <w:vMerge w:val="restart"/>
            <w:tcBorders>
              <w:top w:val="nil"/>
              <w:left w:val="nil"/>
              <w:bottom w:val="single" w:color="auto" w:sz="4" w:space="0"/>
              <w:right w:val="single" w:color="auto" w:sz="4" w:space="0"/>
            </w:tcBorders>
            <w:vAlign w:val="center"/>
          </w:tcPr>
          <w:p>
            <w:pPr>
              <w:adjustRightInd w:val="0"/>
              <w:snapToGrid w:val="0"/>
              <w:spacing w:line="360" w:lineRule="exact"/>
              <w:ind w:left="-105" w:leftChars="-50" w:right="-105" w:rightChars="-50"/>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《工业企业厂界环境噪声排放标准》（</w:t>
            </w:r>
            <w:r>
              <w:rPr>
                <w:rFonts w:hint="default" w:ascii="Times New Roman" w:hAnsi="Times New Roman" w:cs="Times New Roman" w:eastAsiaTheme="minorEastAsia"/>
                <w:szCs w:val="21"/>
              </w:rPr>
              <w:t>GB12348-2008</w:t>
            </w:r>
            <w:r>
              <w:rPr>
                <w:rFonts w:hint="default" w:ascii="Times New Roman" w:hAnsi="Times New Roman" w:cs="Times New Roman" w:eastAsiaTheme="minorEastAsia"/>
                <w:kern w:val="0"/>
                <w:szCs w:val="21"/>
              </w:rPr>
              <w:t>）</w:t>
            </w:r>
            <w:r>
              <w:rPr>
                <w:rFonts w:hint="default" w:ascii="Times New Roman" w:hAnsi="Times New Roman" w:cs="Times New Roman" w:eastAsiaTheme="minorEastAsia"/>
                <w:szCs w:val="21"/>
              </w:rPr>
              <w:t>3类</w:t>
            </w:r>
          </w:p>
        </w:tc>
        <w:tc>
          <w:tcPr>
            <w:tcW w:w="762" w:type="pct"/>
            <w:vMerge w:val="restart"/>
            <w:tcBorders>
              <w:top w:val="nil"/>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昼间≤65dB（A）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szCs w:val="21"/>
              </w:rPr>
            </w:pPr>
          </w:p>
        </w:tc>
        <w:tc>
          <w:tcPr>
            <w:tcW w:w="1872" w:type="pct"/>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szCs w:val="21"/>
              </w:rPr>
            </w:pPr>
          </w:p>
        </w:tc>
        <w:tc>
          <w:tcPr>
            <w:tcW w:w="762" w:type="pct"/>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szCs w:val="21"/>
              </w:rPr>
            </w:pP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op w:val="nil"/>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固废</w:t>
            </w:r>
          </w:p>
        </w:tc>
        <w:tc>
          <w:tcPr>
            <w:tcW w:w="4588" w:type="pct"/>
            <w:gridSpan w:val="3"/>
            <w:tcBorders>
              <w:top w:val="nil"/>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《一般工业固体废物贮存和填埋污染控制标准》（GB18599-20</w:t>
            </w:r>
            <w:r>
              <w:rPr>
                <w:rFonts w:hint="default" w:ascii="Times New Roman" w:hAnsi="Times New Roman" w:cs="Times New Roman"/>
                <w:szCs w:val="21"/>
                <w:lang w:val="en-US" w:eastAsia="zh-CN"/>
              </w:rPr>
              <w:t>20</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p>
        </w:tc>
        <w:tc>
          <w:tcPr>
            <w:tcW w:w="4588" w:type="pct"/>
            <w:gridSpan w:val="3"/>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《危险废物贮存污染控制标准》（GB18597-20</w:t>
            </w:r>
            <w:r>
              <w:rPr>
                <w:rFonts w:hint="default" w:ascii="Times New Roman" w:hAnsi="Times New Roman" w:cs="Times New Roman"/>
                <w:szCs w:val="21"/>
                <w:lang w:val="en-US" w:eastAsia="zh-CN"/>
              </w:rPr>
              <w:t>23</w:t>
            </w:r>
            <w:r>
              <w:rPr>
                <w:rFonts w:hint="default" w:ascii="Times New Roman" w:hAnsi="Times New Roman" w:cs="Times New Roman"/>
                <w:szCs w:val="21"/>
              </w:rPr>
              <w:t>）</w:t>
            </w:r>
          </w:p>
        </w:tc>
      </w:tr>
    </w:tbl>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spacing w:afterLines="50" w:line="54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7、验收监测内容</w:t>
      </w:r>
      <w:bookmarkEnd w:id="27"/>
    </w:p>
    <w:p>
      <w:pPr>
        <w:adjustRightInd w:val="0"/>
        <w:snapToGrid w:val="0"/>
        <w:spacing w:line="54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7.1</w:t>
      </w:r>
      <w:bookmarkStart w:id="28" w:name="_Toc329529473"/>
      <w:bookmarkStart w:id="29" w:name="_Toc346464053"/>
      <w:r>
        <w:rPr>
          <w:rFonts w:hint="default" w:ascii="Times New Roman" w:hAnsi="Times New Roman" w:eastAsia="楷体" w:cs="Times New Roman"/>
          <w:color w:val="000000"/>
          <w:sz w:val="24"/>
          <w:szCs w:val="24"/>
        </w:rPr>
        <w:t>废气</w:t>
      </w:r>
    </w:p>
    <w:p>
      <w:pPr>
        <w:adjustRightInd w:val="0"/>
        <w:snapToGrid w:val="0"/>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bCs/>
          <w:sz w:val="24"/>
          <w:szCs w:val="24"/>
        </w:rPr>
        <w:t>本项目产生的</w:t>
      </w:r>
      <w:r>
        <w:rPr>
          <w:rFonts w:hint="default" w:ascii="Times New Roman" w:hAnsi="Times New Roman" w:cs="Times New Roman"/>
          <w:bCs/>
          <w:sz w:val="24"/>
          <w:szCs w:val="24"/>
          <w:lang w:eastAsia="zh-CN"/>
        </w:rPr>
        <w:t>废气经管道收集后</w:t>
      </w:r>
      <w:r>
        <w:rPr>
          <w:rFonts w:hint="default" w:ascii="Times New Roman" w:hAnsi="Times New Roman" w:cs="Times New Roman"/>
          <w:bCs/>
          <w:sz w:val="24"/>
          <w:szCs w:val="24"/>
        </w:rPr>
        <w:t>引至酸雾喷淋塔处理后经15m高排气筒排放；</w:t>
      </w:r>
      <w:r>
        <w:rPr>
          <w:rFonts w:hint="default" w:ascii="Times New Roman" w:hAnsi="Times New Roman" w:cs="Times New Roman"/>
          <w:bCs/>
          <w:sz w:val="24"/>
          <w:szCs w:val="24"/>
          <w:lang w:eastAsia="zh-CN"/>
        </w:rPr>
        <w:t>项目混料工序少量粉尘外逸，压棒工序</w:t>
      </w:r>
      <w:r>
        <w:rPr>
          <w:rFonts w:hint="default" w:ascii="Times New Roman" w:hAnsi="Times New Roman" w:cs="Times New Roman"/>
          <w:bCs/>
          <w:sz w:val="24"/>
          <w:szCs w:val="24"/>
        </w:rPr>
        <w:t>产生的颗粒物收集后经</w:t>
      </w:r>
      <w:r>
        <w:rPr>
          <w:rFonts w:hint="default" w:ascii="Times New Roman" w:hAnsi="Times New Roman" w:cs="Times New Roman"/>
          <w:bCs/>
          <w:sz w:val="24"/>
          <w:szCs w:val="24"/>
          <w:lang w:eastAsia="zh-CN"/>
        </w:rPr>
        <w:t>水吸收</w:t>
      </w:r>
      <w:r>
        <w:rPr>
          <w:rFonts w:hint="default" w:ascii="Times New Roman" w:hAnsi="Times New Roman" w:cs="Times New Roman"/>
          <w:bCs/>
          <w:sz w:val="24"/>
          <w:szCs w:val="24"/>
        </w:rPr>
        <w:t>处理后</w:t>
      </w:r>
      <w:r>
        <w:rPr>
          <w:rFonts w:hint="default" w:ascii="Times New Roman" w:hAnsi="Times New Roman" w:cs="Times New Roman"/>
          <w:bCs/>
          <w:sz w:val="24"/>
          <w:szCs w:val="24"/>
          <w:lang w:eastAsia="zh-CN"/>
        </w:rPr>
        <w:t>无组织</w:t>
      </w:r>
      <w:r>
        <w:rPr>
          <w:rFonts w:hint="default" w:ascii="Times New Roman" w:hAnsi="Times New Roman" w:cs="Times New Roman"/>
          <w:bCs/>
          <w:sz w:val="24"/>
          <w:szCs w:val="24"/>
        </w:rPr>
        <w:t>排放。</w:t>
      </w:r>
    </w:p>
    <w:p>
      <w:pPr>
        <w:adjustRightInd w:val="0"/>
        <w:snapToGrid w:val="0"/>
        <w:spacing w:line="5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项目废气</w:t>
      </w:r>
      <w:r>
        <w:rPr>
          <w:rFonts w:hint="default" w:ascii="Times New Roman" w:hAnsi="Times New Roman" w:cs="Times New Roman"/>
          <w:bCs/>
          <w:color w:val="000000"/>
          <w:sz w:val="24"/>
          <w:szCs w:val="24"/>
        </w:rPr>
        <w:t>监测</w:t>
      </w:r>
      <w:r>
        <w:rPr>
          <w:rFonts w:hint="default" w:ascii="Times New Roman" w:hAnsi="Times New Roman" w:cs="Times New Roman"/>
          <w:color w:val="000000"/>
          <w:sz w:val="24"/>
          <w:szCs w:val="24"/>
        </w:rPr>
        <w:t>内容见表7-1、表7-2，监测点位见附件2所示。</w:t>
      </w:r>
    </w:p>
    <w:p>
      <w:pPr>
        <w:adjustRightInd w:val="0"/>
        <w:snapToGrid w:val="0"/>
        <w:spacing w:line="54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表7-1             项目有组织废气监测内容</w:t>
      </w:r>
    </w:p>
    <w:tbl>
      <w:tblPr>
        <w:tblStyle w:val="4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7"/>
        <w:gridCol w:w="1456"/>
        <w:gridCol w:w="2555"/>
        <w:gridCol w:w="1416"/>
        <w:gridCol w:w="1275"/>
        <w:gridCol w:w="11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854"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监测点</w:t>
            </w:r>
          </w:p>
        </w:tc>
        <w:tc>
          <w:tcPr>
            <w:tcW w:w="1499" w:type="pct"/>
            <w:tcBorders>
              <w:right w:val="single" w:color="auto" w:sz="4" w:space="0"/>
            </w:tcBorders>
            <w:vAlign w:val="center"/>
          </w:tcPr>
          <w:p>
            <w:pPr>
              <w:spacing w:line="36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监测因子</w:t>
            </w:r>
          </w:p>
        </w:tc>
        <w:tc>
          <w:tcPr>
            <w:tcW w:w="830" w:type="pct"/>
            <w:tcBorders>
              <w:left w:val="single" w:color="auto" w:sz="4" w:space="0"/>
            </w:tcBorders>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color w:val="000000"/>
                <w:szCs w:val="21"/>
              </w:rPr>
              <w:t>监测项目</w:t>
            </w:r>
          </w:p>
        </w:tc>
        <w:tc>
          <w:tcPr>
            <w:tcW w:w="748" w:type="pct"/>
            <w:tcBorders>
              <w:lef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监测频次</w:t>
            </w:r>
          </w:p>
        </w:tc>
        <w:tc>
          <w:tcPr>
            <w:tcW w:w="694" w:type="pct"/>
            <w:tcBorders>
              <w:lef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Merge w:val="restar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854" w:type="pct"/>
            <w:vMerge w:val="restart"/>
            <w:vAlign w:val="center"/>
          </w:tcPr>
          <w:p>
            <w:pPr>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#排气筒</w:t>
            </w:r>
          </w:p>
        </w:tc>
        <w:tc>
          <w:tcPr>
            <w:tcW w:w="1499" w:type="pct"/>
            <w:tcBorders>
              <w:bottom w:val="single" w:color="auto" w:sz="4" w:space="0"/>
              <w:right w:val="single" w:color="auto" w:sz="4" w:space="0"/>
            </w:tcBorders>
            <w:vAlign w:val="center"/>
          </w:tcPr>
          <w:p>
            <w:pPr>
              <w:spacing w:line="36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氨</w:t>
            </w:r>
          </w:p>
        </w:tc>
        <w:tc>
          <w:tcPr>
            <w:tcW w:w="830" w:type="pct"/>
            <w:tcBorders>
              <w:lef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color w:val="000000"/>
                <w:spacing w:val="4"/>
                <w:szCs w:val="21"/>
              </w:rPr>
              <w:t>排放浓度、排放速率、风量</w:t>
            </w:r>
          </w:p>
        </w:tc>
        <w:tc>
          <w:tcPr>
            <w:tcW w:w="748" w:type="pct"/>
            <w:tcBorders>
              <w:left w:val="single" w:color="auto" w:sz="4" w:space="0"/>
            </w:tcBorders>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连续监测2天，3次/天</w:t>
            </w:r>
          </w:p>
        </w:tc>
        <w:tc>
          <w:tcPr>
            <w:tcW w:w="694" w:type="pct"/>
            <w:tcBorders>
              <w:left w:val="single" w:color="auto" w:sz="4" w:space="0"/>
              <w:bottom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4.9kg/h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Merge w:val="continue"/>
            <w:vAlign w:val="center"/>
          </w:tcPr>
          <w:p>
            <w:pPr>
              <w:spacing w:line="360" w:lineRule="exact"/>
              <w:jc w:val="center"/>
              <w:rPr>
                <w:rFonts w:hint="default" w:ascii="Times New Roman" w:hAnsi="Times New Roman" w:cs="Times New Roman"/>
                <w:szCs w:val="21"/>
              </w:rPr>
            </w:pPr>
          </w:p>
        </w:tc>
        <w:tc>
          <w:tcPr>
            <w:tcW w:w="854" w:type="pct"/>
            <w:vMerge w:val="continue"/>
            <w:vAlign w:val="center"/>
          </w:tcPr>
          <w:p>
            <w:pPr>
              <w:spacing w:line="360" w:lineRule="exact"/>
              <w:jc w:val="center"/>
              <w:rPr>
                <w:rFonts w:hint="default" w:ascii="Times New Roman" w:hAnsi="Times New Roman" w:cs="Times New Roman"/>
                <w:color w:val="000000"/>
                <w:kern w:val="0"/>
                <w:szCs w:val="21"/>
              </w:rPr>
            </w:pPr>
          </w:p>
        </w:tc>
        <w:tc>
          <w:tcPr>
            <w:tcW w:w="1499" w:type="pct"/>
            <w:tcBorders>
              <w:top w:val="single" w:color="auto" w:sz="4" w:space="0"/>
              <w:bottom w:val="single" w:color="auto" w:sz="6" w:space="0"/>
              <w:right w:val="single" w:color="auto" w:sz="4" w:space="0"/>
            </w:tcBorders>
            <w:vAlign w:val="center"/>
          </w:tcPr>
          <w:p>
            <w:pPr>
              <w:spacing w:line="36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硫酸雾</w:t>
            </w:r>
          </w:p>
        </w:tc>
        <w:tc>
          <w:tcPr>
            <w:tcW w:w="830" w:type="pct"/>
            <w:vMerge w:val="restart"/>
            <w:tcBorders>
              <w:lef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color w:val="000000"/>
                <w:spacing w:val="4"/>
                <w:szCs w:val="21"/>
              </w:rPr>
              <w:t>排放浓度、排放速率、风量</w:t>
            </w:r>
          </w:p>
        </w:tc>
        <w:tc>
          <w:tcPr>
            <w:tcW w:w="748" w:type="pct"/>
            <w:vMerge w:val="restart"/>
            <w:tcBorders>
              <w:left w:val="single" w:color="auto" w:sz="4" w:space="0"/>
            </w:tcBorders>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连续监测2天，3次/天</w:t>
            </w:r>
          </w:p>
        </w:tc>
        <w:tc>
          <w:tcPr>
            <w:tcW w:w="694" w:type="pct"/>
            <w:tcBorders>
              <w:top w:val="single" w:color="auto" w:sz="4" w:space="0"/>
              <w:left w:val="single" w:color="auto" w:sz="4" w:space="0"/>
              <w:bottom w:val="single" w:color="auto" w:sz="6"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45mg/m</w:t>
            </w:r>
            <w:r>
              <w:rPr>
                <w:rFonts w:hint="default" w:ascii="Times New Roman" w:hAnsi="Times New Roman" w:cs="Times New Roman"/>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Merge w:val="continue"/>
            <w:vAlign w:val="center"/>
          </w:tcPr>
          <w:p>
            <w:pPr>
              <w:spacing w:line="360" w:lineRule="exact"/>
              <w:jc w:val="center"/>
              <w:rPr>
                <w:rFonts w:hint="default" w:ascii="Times New Roman" w:hAnsi="Times New Roman" w:cs="Times New Roman"/>
                <w:szCs w:val="21"/>
              </w:rPr>
            </w:pPr>
          </w:p>
        </w:tc>
        <w:tc>
          <w:tcPr>
            <w:tcW w:w="854" w:type="pct"/>
            <w:vMerge w:val="continue"/>
            <w:vAlign w:val="center"/>
          </w:tcPr>
          <w:p>
            <w:pPr>
              <w:spacing w:line="360" w:lineRule="exact"/>
              <w:jc w:val="center"/>
              <w:rPr>
                <w:rFonts w:hint="default" w:ascii="Times New Roman" w:hAnsi="Times New Roman" w:cs="Times New Roman"/>
                <w:szCs w:val="21"/>
              </w:rPr>
            </w:pPr>
          </w:p>
        </w:tc>
        <w:tc>
          <w:tcPr>
            <w:tcW w:w="1499" w:type="pct"/>
            <w:tcBorders>
              <w:top w:val="single" w:color="auto" w:sz="4" w:space="0"/>
              <w:bottom w:val="single" w:color="auto" w:sz="6" w:space="0"/>
              <w:right w:val="single" w:color="auto" w:sz="4" w:space="0"/>
            </w:tcBorders>
            <w:vAlign w:val="center"/>
          </w:tcPr>
          <w:p>
            <w:pPr>
              <w:spacing w:line="36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氮氧化物计</w:t>
            </w:r>
          </w:p>
        </w:tc>
        <w:tc>
          <w:tcPr>
            <w:tcW w:w="830" w:type="pct"/>
            <w:vMerge w:val="continue"/>
            <w:tcBorders>
              <w:left w:val="single" w:color="auto" w:sz="4" w:space="0"/>
              <w:bottom w:val="single" w:color="auto" w:sz="6" w:space="0"/>
            </w:tcBorders>
            <w:vAlign w:val="center"/>
          </w:tcPr>
          <w:p>
            <w:pPr>
              <w:spacing w:line="360" w:lineRule="exact"/>
              <w:jc w:val="center"/>
              <w:rPr>
                <w:rFonts w:hint="default" w:ascii="Times New Roman" w:hAnsi="Times New Roman" w:cs="Times New Roman"/>
                <w:color w:val="000000"/>
                <w:spacing w:val="4"/>
                <w:szCs w:val="21"/>
              </w:rPr>
            </w:pPr>
          </w:p>
        </w:tc>
        <w:tc>
          <w:tcPr>
            <w:tcW w:w="748" w:type="pct"/>
            <w:vMerge w:val="continue"/>
            <w:tcBorders>
              <w:left w:val="single" w:color="auto" w:sz="4" w:space="0"/>
              <w:bottom w:val="single" w:color="auto" w:sz="6" w:space="0"/>
            </w:tcBorders>
            <w:vAlign w:val="center"/>
          </w:tcPr>
          <w:p>
            <w:pPr>
              <w:widowControl/>
              <w:spacing w:line="360" w:lineRule="exact"/>
              <w:jc w:val="center"/>
              <w:rPr>
                <w:rFonts w:hint="default" w:ascii="Times New Roman" w:hAnsi="Times New Roman" w:cs="Times New Roman"/>
                <w:color w:val="000000"/>
                <w:kern w:val="0"/>
                <w:szCs w:val="21"/>
              </w:rPr>
            </w:pPr>
          </w:p>
        </w:tc>
        <w:tc>
          <w:tcPr>
            <w:tcW w:w="694" w:type="pct"/>
            <w:tcBorders>
              <w:top w:val="single" w:color="auto" w:sz="4" w:space="0"/>
              <w:left w:val="single" w:color="auto" w:sz="4" w:space="0"/>
              <w:bottom w:val="single" w:color="auto" w:sz="6"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240mg/m</w:t>
            </w:r>
            <w:r>
              <w:rPr>
                <w:rFonts w:hint="default" w:ascii="Times New Roman" w:hAnsi="Times New Roman" w:cs="Times New Roman"/>
                <w:szCs w:val="21"/>
                <w:vertAlign w:val="superscript"/>
              </w:rPr>
              <w:t>3</w:t>
            </w:r>
          </w:p>
        </w:tc>
      </w:tr>
    </w:tbl>
    <w:p>
      <w:pPr>
        <w:adjustRightInd w:val="0"/>
        <w:snapToGrid w:val="0"/>
        <w:spacing w:line="54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表7-2             项目无组织废气监测内容</w:t>
      </w:r>
    </w:p>
    <w:tbl>
      <w:tblPr>
        <w:tblStyle w:val="4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7"/>
        <w:gridCol w:w="1600"/>
        <w:gridCol w:w="1556"/>
        <w:gridCol w:w="1277"/>
        <w:gridCol w:w="1560"/>
        <w:gridCol w:w="18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4"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939"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监测点</w:t>
            </w:r>
          </w:p>
        </w:tc>
        <w:tc>
          <w:tcPr>
            <w:tcW w:w="913"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监测因子</w:t>
            </w:r>
          </w:p>
        </w:tc>
        <w:tc>
          <w:tcPr>
            <w:tcW w:w="749" w:type="pct"/>
            <w:tcBorders>
              <w:left w:val="single" w:color="auto" w:sz="4" w:space="0"/>
            </w:tcBorders>
            <w:vAlign w:val="center"/>
          </w:tcPr>
          <w:p>
            <w:pPr>
              <w:adjustRightInd w:val="0"/>
              <w:snapToGrid w:val="0"/>
              <w:spacing w:line="380" w:lineRule="exact"/>
              <w:jc w:val="center"/>
              <w:rPr>
                <w:rFonts w:hint="default" w:ascii="Times New Roman" w:hAnsi="Times New Roman" w:cs="Times New Roman"/>
                <w:szCs w:val="21"/>
              </w:rPr>
            </w:pPr>
            <w:r>
              <w:rPr>
                <w:rFonts w:hint="default" w:ascii="Times New Roman" w:hAnsi="Times New Roman" w:cs="Times New Roman"/>
                <w:color w:val="000000"/>
                <w:szCs w:val="21"/>
              </w:rPr>
              <w:t>监测项目</w:t>
            </w:r>
          </w:p>
        </w:tc>
        <w:tc>
          <w:tcPr>
            <w:tcW w:w="915" w:type="pc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监测频次</w:t>
            </w:r>
          </w:p>
        </w:tc>
        <w:tc>
          <w:tcPr>
            <w:tcW w:w="1111" w:type="pc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4" w:type="pct"/>
            <w:vMerge w:val="restar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939" w:type="pct"/>
            <w:vMerge w:val="restar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上风向1个、下风向3个</w:t>
            </w:r>
          </w:p>
        </w:tc>
        <w:tc>
          <w:tcPr>
            <w:tcW w:w="913" w:type="pct"/>
            <w:tcBorders>
              <w:bottom w:val="single" w:color="auto" w:sz="4" w:space="0"/>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氨</w:t>
            </w:r>
          </w:p>
        </w:tc>
        <w:tc>
          <w:tcPr>
            <w:tcW w:w="749" w:type="pct"/>
            <w:vMerge w:val="restar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rPr>
              <w:t>浓度、温度、风速、风向、气压</w:t>
            </w:r>
          </w:p>
        </w:tc>
        <w:tc>
          <w:tcPr>
            <w:tcW w:w="915" w:type="pct"/>
            <w:vMerge w:val="restart"/>
            <w:tcBorders>
              <w:left w:val="single" w:color="auto" w:sz="4" w:space="0"/>
            </w:tcBorders>
            <w:vAlign w:val="center"/>
          </w:tcPr>
          <w:p>
            <w:pPr>
              <w:widowControl/>
              <w:spacing w:line="38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连续监测2天，3次/天</w:t>
            </w:r>
          </w:p>
        </w:tc>
        <w:tc>
          <w:tcPr>
            <w:tcW w:w="1111" w:type="pct"/>
            <w:tcBorders>
              <w:left w:val="single" w:color="auto" w:sz="4" w:space="0"/>
              <w:bottom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1.5mg/m</w:t>
            </w:r>
            <w:r>
              <w:rPr>
                <w:rFonts w:hint="default" w:ascii="Times New Roman" w:hAnsi="Times New Roman" w:cs="Times New Roman"/>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4" w:type="pct"/>
            <w:vMerge w:val="continue"/>
            <w:vAlign w:val="center"/>
          </w:tcPr>
          <w:p>
            <w:pPr>
              <w:spacing w:line="380" w:lineRule="exact"/>
              <w:jc w:val="center"/>
              <w:rPr>
                <w:rFonts w:hint="default" w:ascii="Times New Roman" w:hAnsi="Times New Roman" w:cs="Times New Roman"/>
                <w:szCs w:val="21"/>
              </w:rPr>
            </w:pPr>
          </w:p>
        </w:tc>
        <w:tc>
          <w:tcPr>
            <w:tcW w:w="939" w:type="pct"/>
            <w:vMerge w:val="continue"/>
            <w:vAlign w:val="center"/>
          </w:tcPr>
          <w:p>
            <w:pPr>
              <w:spacing w:line="380" w:lineRule="exact"/>
              <w:jc w:val="center"/>
              <w:rPr>
                <w:rFonts w:hint="default" w:ascii="Times New Roman" w:hAnsi="Times New Roman" w:cs="Times New Roman"/>
                <w:szCs w:val="21"/>
              </w:rPr>
            </w:pPr>
          </w:p>
        </w:tc>
        <w:tc>
          <w:tcPr>
            <w:tcW w:w="913" w:type="pct"/>
            <w:tcBorders>
              <w:bottom w:val="single" w:color="auto" w:sz="4" w:space="0"/>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硫酸雾</w:t>
            </w:r>
          </w:p>
        </w:tc>
        <w:tc>
          <w:tcPr>
            <w:tcW w:w="749" w:type="pct"/>
            <w:vMerge w:val="continue"/>
            <w:tcBorders>
              <w:left w:val="single" w:color="auto" w:sz="4" w:space="0"/>
            </w:tcBorders>
            <w:vAlign w:val="center"/>
          </w:tcPr>
          <w:p>
            <w:pPr>
              <w:spacing w:line="380" w:lineRule="exact"/>
              <w:jc w:val="center"/>
              <w:rPr>
                <w:rFonts w:hint="default" w:ascii="Times New Roman" w:hAnsi="Times New Roman" w:cs="Times New Roman"/>
              </w:rPr>
            </w:pPr>
          </w:p>
        </w:tc>
        <w:tc>
          <w:tcPr>
            <w:tcW w:w="915" w:type="pct"/>
            <w:vMerge w:val="continue"/>
            <w:tcBorders>
              <w:left w:val="single" w:color="auto" w:sz="4" w:space="0"/>
            </w:tcBorders>
            <w:vAlign w:val="center"/>
          </w:tcPr>
          <w:p>
            <w:pPr>
              <w:widowControl/>
              <w:spacing w:line="380" w:lineRule="exact"/>
              <w:jc w:val="center"/>
              <w:rPr>
                <w:rFonts w:hint="default" w:ascii="Times New Roman" w:hAnsi="Times New Roman" w:cs="Times New Roman"/>
                <w:color w:val="000000"/>
                <w:kern w:val="0"/>
                <w:szCs w:val="21"/>
              </w:rPr>
            </w:pPr>
          </w:p>
        </w:tc>
        <w:tc>
          <w:tcPr>
            <w:tcW w:w="1111" w:type="pct"/>
            <w:tcBorders>
              <w:left w:val="single" w:color="auto" w:sz="4" w:space="0"/>
              <w:bottom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1.2mg/m</w:t>
            </w:r>
            <w:r>
              <w:rPr>
                <w:rFonts w:hint="default" w:ascii="Times New Roman" w:hAnsi="Times New Roman" w:cs="Times New Roman"/>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4" w:type="pct"/>
            <w:vMerge w:val="continue"/>
            <w:vAlign w:val="center"/>
          </w:tcPr>
          <w:p>
            <w:pPr>
              <w:spacing w:line="380" w:lineRule="exact"/>
              <w:jc w:val="center"/>
              <w:rPr>
                <w:rFonts w:hint="default" w:ascii="Times New Roman" w:hAnsi="Times New Roman" w:cs="Times New Roman"/>
                <w:szCs w:val="21"/>
              </w:rPr>
            </w:pPr>
          </w:p>
        </w:tc>
        <w:tc>
          <w:tcPr>
            <w:tcW w:w="939" w:type="pct"/>
            <w:vMerge w:val="continue"/>
            <w:vAlign w:val="center"/>
          </w:tcPr>
          <w:p>
            <w:pPr>
              <w:spacing w:line="380" w:lineRule="exact"/>
              <w:jc w:val="center"/>
              <w:rPr>
                <w:rFonts w:hint="default" w:ascii="Times New Roman" w:hAnsi="Times New Roman" w:cs="Times New Roman"/>
                <w:szCs w:val="21"/>
              </w:rPr>
            </w:pPr>
          </w:p>
        </w:tc>
        <w:tc>
          <w:tcPr>
            <w:tcW w:w="913" w:type="pct"/>
            <w:tcBorders>
              <w:bottom w:val="single" w:color="auto" w:sz="4" w:space="0"/>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氮氧化物计</w:t>
            </w:r>
          </w:p>
        </w:tc>
        <w:tc>
          <w:tcPr>
            <w:tcW w:w="749" w:type="pct"/>
            <w:vMerge w:val="continue"/>
            <w:tcBorders>
              <w:left w:val="single" w:color="auto" w:sz="4" w:space="0"/>
            </w:tcBorders>
            <w:vAlign w:val="center"/>
          </w:tcPr>
          <w:p>
            <w:pPr>
              <w:spacing w:line="380" w:lineRule="exact"/>
              <w:jc w:val="center"/>
              <w:rPr>
                <w:rFonts w:hint="default" w:ascii="Times New Roman" w:hAnsi="Times New Roman" w:cs="Times New Roman"/>
              </w:rPr>
            </w:pPr>
          </w:p>
        </w:tc>
        <w:tc>
          <w:tcPr>
            <w:tcW w:w="915" w:type="pct"/>
            <w:vMerge w:val="continue"/>
            <w:tcBorders>
              <w:left w:val="single" w:color="auto" w:sz="4" w:space="0"/>
            </w:tcBorders>
            <w:vAlign w:val="center"/>
          </w:tcPr>
          <w:p>
            <w:pPr>
              <w:widowControl/>
              <w:spacing w:line="380" w:lineRule="exact"/>
              <w:jc w:val="center"/>
              <w:rPr>
                <w:rFonts w:hint="default" w:ascii="Times New Roman" w:hAnsi="Times New Roman" w:cs="Times New Roman"/>
                <w:color w:val="000000"/>
                <w:kern w:val="0"/>
                <w:szCs w:val="21"/>
              </w:rPr>
            </w:pPr>
          </w:p>
        </w:tc>
        <w:tc>
          <w:tcPr>
            <w:tcW w:w="1111" w:type="pct"/>
            <w:tcBorders>
              <w:left w:val="single" w:color="auto" w:sz="4" w:space="0"/>
              <w:bottom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0.12mg/m</w:t>
            </w:r>
            <w:r>
              <w:rPr>
                <w:rFonts w:hint="default" w:ascii="Times New Roman" w:hAnsi="Times New Roman" w:cs="Times New Roman"/>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4" w:type="pct"/>
            <w:vMerge w:val="continue"/>
            <w:vAlign w:val="center"/>
          </w:tcPr>
          <w:p>
            <w:pPr>
              <w:spacing w:line="380" w:lineRule="exact"/>
              <w:jc w:val="center"/>
              <w:rPr>
                <w:rFonts w:hint="default" w:ascii="Times New Roman" w:hAnsi="Times New Roman" w:cs="Times New Roman"/>
                <w:szCs w:val="21"/>
              </w:rPr>
            </w:pPr>
          </w:p>
        </w:tc>
        <w:tc>
          <w:tcPr>
            <w:tcW w:w="939" w:type="pct"/>
            <w:vMerge w:val="continue"/>
            <w:vAlign w:val="center"/>
          </w:tcPr>
          <w:p>
            <w:pPr>
              <w:spacing w:line="380" w:lineRule="exact"/>
              <w:jc w:val="center"/>
              <w:rPr>
                <w:rFonts w:hint="default" w:ascii="Times New Roman" w:hAnsi="Times New Roman" w:cs="Times New Roman"/>
                <w:szCs w:val="21"/>
              </w:rPr>
            </w:pPr>
          </w:p>
        </w:tc>
        <w:tc>
          <w:tcPr>
            <w:tcW w:w="913" w:type="pct"/>
            <w:tcBorders>
              <w:top w:val="single" w:color="auto" w:sz="4" w:space="0"/>
              <w:bottom w:val="single" w:color="auto" w:sz="4" w:space="0"/>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颗粒物</w:t>
            </w:r>
          </w:p>
        </w:tc>
        <w:tc>
          <w:tcPr>
            <w:tcW w:w="749" w:type="pct"/>
            <w:vMerge w:val="continue"/>
            <w:tcBorders>
              <w:left w:val="single" w:color="auto" w:sz="4" w:space="0"/>
            </w:tcBorders>
            <w:vAlign w:val="center"/>
          </w:tcPr>
          <w:p>
            <w:pPr>
              <w:spacing w:line="380" w:lineRule="exact"/>
              <w:jc w:val="center"/>
              <w:rPr>
                <w:rFonts w:hint="default" w:ascii="Times New Roman" w:hAnsi="Times New Roman" w:cs="Times New Roman"/>
                <w:color w:val="000000"/>
                <w:spacing w:val="4"/>
                <w:szCs w:val="21"/>
              </w:rPr>
            </w:pPr>
          </w:p>
        </w:tc>
        <w:tc>
          <w:tcPr>
            <w:tcW w:w="915" w:type="pct"/>
            <w:vMerge w:val="continue"/>
            <w:tcBorders>
              <w:left w:val="single" w:color="auto" w:sz="4" w:space="0"/>
            </w:tcBorders>
            <w:vAlign w:val="center"/>
          </w:tcPr>
          <w:p>
            <w:pPr>
              <w:widowControl/>
              <w:spacing w:line="380" w:lineRule="exact"/>
              <w:jc w:val="center"/>
              <w:rPr>
                <w:rFonts w:hint="default" w:ascii="Times New Roman" w:hAnsi="Times New Roman" w:cs="Times New Roman"/>
                <w:color w:val="000000"/>
                <w:kern w:val="0"/>
                <w:szCs w:val="21"/>
              </w:rPr>
            </w:pPr>
          </w:p>
        </w:tc>
        <w:tc>
          <w:tcPr>
            <w:tcW w:w="1111" w:type="pct"/>
            <w:tcBorders>
              <w:top w:val="single" w:color="auto" w:sz="4" w:space="0"/>
              <w:left w:val="single" w:color="auto" w:sz="4" w:space="0"/>
              <w:bottom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lang w:val="en-US" w:eastAsia="zh-CN"/>
              </w:rPr>
              <w:t>1.0</w:t>
            </w:r>
            <w:r>
              <w:rPr>
                <w:rFonts w:hint="default" w:ascii="Times New Roman" w:hAnsi="Times New Roman" w:cs="Times New Roman"/>
                <w:szCs w:val="21"/>
              </w:rPr>
              <w:t>mg/m</w:t>
            </w:r>
            <w:r>
              <w:rPr>
                <w:rFonts w:hint="default" w:ascii="Times New Roman" w:hAnsi="Times New Roman" w:cs="Times New Roman"/>
                <w:szCs w:val="21"/>
                <w:vertAlign w:val="superscript"/>
              </w:rPr>
              <w:t>3</w:t>
            </w:r>
          </w:p>
        </w:tc>
      </w:tr>
    </w:tbl>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7.2废水</w:t>
      </w:r>
    </w:p>
    <w:p>
      <w:pPr>
        <w:adjustRightInd w:val="0"/>
        <w:snapToGrid w:val="0"/>
        <w:spacing w:line="52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rPr>
        <w:t>项目</w:t>
      </w:r>
      <w:r>
        <w:rPr>
          <w:rFonts w:hint="default" w:ascii="Times New Roman" w:hAnsi="Times New Roman" w:cs="Times New Roman"/>
          <w:color w:val="000000"/>
          <w:sz w:val="24"/>
          <w:lang w:eastAsia="zh-CN"/>
        </w:rPr>
        <w:t>生产废水经中和处理后返回摇床工序循环使用不外排，生活污水经化粪池处理后排入市政管网</w:t>
      </w:r>
      <w:r>
        <w:rPr>
          <w:rFonts w:hint="default" w:ascii="Times New Roman" w:hAnsi="Times New Roman" w:cs="Times New Roman"/>
          <w:color w:val="000000"/>
          <w:sz w:val="24"/>
        </w:rPr>
        <w:t>。本次验收对</w:t>
      </w:r>
      <w:r>
        <w:rPr>
          <w:rFonts w:hint="default" w:ascii="Times New Roman" w:hAnsi="Times New Roman" w:cs="Times New Roman"/>
          <w:color w:val="000000"/>
          <w:sz w:val="24"/>
          <w:lang w:eastAsia="zh-CN"/>
        </w:rPr>
        <w:t>生活污水</w:t>
      </w:r>
      <w:r>
        <w:rPr>
          <w:rFonts w:hint="default" w:ascii="Times New Roman" w:hAnsi="Times New Roman" w:cs="Times New Roman"/>
          <w:color w:val="000000"/>
          <w:sz w:val="24"/>
        </w:rPr>
        <w:t>出水口设1个监测点位，监测因子</w:t>
      </w:r>
      <w:r>
        <w:rPr>
          <w:rFonts w:hint="default" w:ascii="Times New Roman" w:hAnsi="Times New Roman" w:cs="Times New Roman"/>
          <w:color w:val="000000"/>
          <w:sz w:val="24"/>
          <w:szCs w:val="24"/>
        </w:rPr>
        <w:t>pH、</w:t>
      </w:r>
      <w:r>
        <w:rPr>
          <w:rFonts w:hint="default" w:ascii="Times New Roman" w:hAnsi="Times New Roman" w:cs="Times New Roman"/>
          <w:sz w:val="24"/>
          <w:szCs w:val="24"/>
        </w:rPr>
        <w:t>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、NH3-N、SS</w:t>
      </w:r>
      <w:r>
        <w:rPr>
          <w:rFonts w:hint="default" w:ascii="Times New Roman" w:hAnsi="Times New Roman" w:cs="Times New Roman"/>
          <w:color w:val="000000"/>
          <w:sz w:val="24"/>
          <w:szCs w:val="24"/>
        </w:rPr>
        <w:t>。</w:t>
      </w:r>
    </w:p>
    <w:p>
      <w:pPr>
        <w:pStyle w:val="183"/>
        <w:spacing w:line="520" w:lineRule="exact"/>
        <w:ind w:firstLine="480" w:firstLineChars="200"/>
        <w:jc w:val="both"/>
        <w:rPr>
          <w:rFonts w:hint="default" w:ascii="Times New Roman" w:hAnsi="Times New Roman" w:cs="Times New Roman"/>
        </w:rPr>
      </w:pPr>
      <w:r>
        <w:rPr>
          <w:rFonts w:hint="default" w:ascii="Times New Roman" w:hAnsi="Times New Roman" w:cs="Times New Roman"/>
        </w:rPr>
        <w:t>表7-3              废水检测内容一览表</w:t>
      </w:r>
    </w:p>
    <w:tbl>
      <w:tblPr>
        <w:tblStyle w:val="4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5"/>
        <w:gridCol w:w="1965"/>
        <w:gridCol w:w="1812"/>
        <w:gridCol w:w="1778"/>
        <w:gridCol w:w="22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08" w:type="pct"/>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序号</w:t>
            </w:r>
          </w:p>
        </w:tc>
        <w:tc>
          <w:tcPr>
            <w:tcW w:w="1153" w:type="pct"/>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监测点</w:t>
            </w:r>
          </w:p>
        </w:tc>
        <w:tc>
          <w:tcPr>
            <w:tcW w:w="1063" w:type="pct"/>
            <w:tcBorders>
              <w:right w:val="single" w:color="auto" w:sz="4" w:space="0"/>
            </w:tcBorders>
            <w:vAlign w:val="center"/>
          </w:tcPr>
          <w:p>
            <w:pPr>
              <w:spacing w:line="380" w:lineRule="exact"/>
              <w:ind w:firstLine="35" w:firstLineChars="16"/>
              <w:jc w:val="center"/>
              <w:rPr>
                <w:rFonts w:hint="default" w:ascii="Times New Roman" w:hAnsi="Times New Roman" w:cs="Times New Roman"/>
                <w:sz w:val="22"/>
              </w:rPr>
            </w:pPr>
            <w:r>
              <w:rPr>
                <w:rFonts w:hint="default" w:ascii="Times New Roman" w:hAnsi="Times New Roman" w:cs="Times New Roman"/>
                <w:sz w:val="22"/>
              </w:rPr>
              <w:t>监测因子</w:t>
            </w:r>
          </w:p>
        </w:tc>
        <w:tc>
          <w:tcPr>
            <w:tcW w:w="104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监测频次</w:t>
            </w:r>
          </w:p>
        </w:tc>
        <w:tc>
          <w:tcPr>
            <w:tcW w:w="133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08"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1153"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污水处理站出水口</w:t>
            </w:r>
          </w:p>
        </w:tc>
        <w:tc>
          <w:tcPr>
            <w:tcW w:w="1063"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rPr>
            </w:pPr>
            <w:r>
              <w:rPr>
                <w:rFonts w:hint="default" w:ascii="Times New Roman" w:hAnsi="Times New Roman" w:cs="Times New Roman"/>
              </w:rPr>
              <w:t>pH、COD、BOD</w:t>
            </w:r>
            <w:r>
              <w:rPr>
                <w:rFonts w:hint="default" w:ascii="Times New Roman" w:hAnsi="Times New Roman" w:cs="Times New Roman"/>
                <w:vertAlign w:val="subscript"/>
              </w:rPr>
              <w:t>5</w:t>
            </w:r>
            <w:r>
              <w:rPr>
                <w:rFonts w:hint="default" w:ascii="Times New Roman" w:hAnsi="Times New Roman" w:cs="Times New Roman"/>
              </w:rPr>
              <w:t>、NH3-N、SS</w:t>
            </w:r>
          </w:p>
        </w:tc>
        <w:tc>
          <w:tcPr>
            <w:tcW w:w="1043" w:type="pct"/>
            <w:tcBorders>
              <w:left w:val="single" w:color="auto" w:sz="4" w:space="0"/>
            </w:tcBorders>
            <w:vAlign w:val="center"/>
          </w:tcPr>
          <w:p>
            <w:pPr>
              <w:spacing w:line="380" w:lineRule="exact"/>
              <w:jc w:val="center"/>
              <w:rPr>
                <w:rFonts w:hint="default" w:ascii="Times New Roman" w:hAnsi="Times New Roman" w:cs="Times New Roman"/>
              </w:rPr>
            </w:pPr>
            <w:r>
              <w:rPr>
                <w:rFonts w:hint="default" w:ascii="Times New Roman" w:hAnsi="Times New Roman" w:cs="Times New Roman"/>
              </w:rPr>
              <w:t>连续监测2天，每天监测4次</w:t>
            </w:r>
          </w:p>
        </w:tc>
        <w:tc>
          <w:tcPr>
            <w:tcW w:w="133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color w:val="000000"/>
              </w:rPr>
              <w:t>《污水综合排放标准》（GB8978-1996）表4</w:t>
            </w:r>
            <w:r>
              <w:rPr>
                <w:rFonts w:hint="default" w:ascii="Times New Roman" w:hAnsi="Times New Roman" w:cs="Times New Roman"/>
                <w:color w:val="000000"/>
                <w:lang w:val="en-US" w:eastAsia="zh-CN"/>
              </w:rPr>
              <w:t>三</w:t>
            </w:r>
            <w:r>
              <w:rPr>
                <w:rFonts w:hint="default" w:ascii="Times New Roman" w:hAnsi="Times New Roman" w:cs="Times New Roman"/>
                <w:color w:val="000000"/>
              </w:rPr>
              <w:t>级标准要求</w:t>
            </w:r>
          </w:p>
        </w:tc>
      </w:tr>
    </w:tbl>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7.3厂界噪声</w:t>
      </w:r>
    </w:p>
    <w:p>
      <w:pPr>
        <w:adjustRightInd w:val="0"/>
        <w:snapToGrid w:val="0"/>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项目位于</w:t>
      </w:r>
      <w:r>
        <w:rPr>
          <w:rFonts w:hint="default" w:ascii="Times New Roman" w:hAnsi="Times New Roman" w:cs="Times New Roman"/>
          <w:kern w:val="0"/>
          <w:sz w:val="24"/>
        </w:rPr>
        <w:t>信阳市产业集聚区信阳高新区工五路与工十四路交叉口，</w:t>
      </w:r>
      <w:r>
        <w:rPr>
          <w:rFonts w:hint="default" w:ascii="Times New Roman" w:hAnsi="Times New Roman" w:cs="Times New Roman"/>
          <w:sz w:val="24"/>
        </w:rPr>
        <w:t>项目噪声主要为机械设备噪声和空气动力性噪声</w:t>
      </w:r>
      <w:r>
        <w:rPr>
          <w:rFonts w:hint="default" w:ascii="Times New Roman" w:hAnsi="Times New Roman" w:cs="Times New Roman"/>
          <w:sz w:val="24"/>
          <w:szCs w:val="24"/>
        </w:rPr>
        <w:t>，</w:t>
      </w:r>
      <w:r>
        <w:rPr>
          <w:rFonts w:hint="default" w:ascii="Times New Roman" w:hAnsi="Times New Roman" w:cs="Times New Roman"/>
          <w:sz w:val="24"/>
        </w:rPr>
        <w:t>采取基础减振、厂房隔声、等措施治理。</w:t>
      </w:r>
      <w:r>
        <w:rPr>
          <w:rFonts w:hint="default" w:ascii="Times New Roman" w:hAnsi="Times New Roman" w:cs="Times New Roman"/>
          <w:kern w:val="0"/>
          <w:sz w:val="24"/>
        </w:rPr>
        <w:t>本次验收噪声</w:t>
      </w:r>
      <w:r>
        <w:rPr>
          <w:rFonts w:hint="default" w:ascii="Times New Roman" w:hAnsi="Times New Roman" w:cs="Times New Roman"/>
          <w:color w:val="000000"/>
          <w:sz w:val="24"/>
          <w:szCs w:val="24"/>
        </w:rPr>
        <w:t>监测东厂界、南厂界、西厂界及北厂界，监测内容见表7-4。</w:t>
      </w:r>
    </w:p>
    <w:p>
      <w:pPr>
        <w:adjustRightInd w:val="0"/>
        <w:snapToGrid w:val="0"/>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cs="Times New Roman"/>
          <w:color w:val="000000"/>
          <w:sz w:val="24"/>
          <w:szCs w:val="24"/>
        </w:rPr>
        <w:t>表</w:t>
      </w:r>
      <w:r>
        <w:rPr>
          <w:rFonts w:hint="default" w:ascii="Times New Roman" w:hAnsi="Times New Roman" w:eastAsia="黑体" w:cs="Times New Roman"/>
          <w:color w:val="000000"/>
          <w:sz w:val="24"/>
          <w:szCs w:val="24"/>
        </w:rPr>
        <w:t>7-4                  项目厂界噪声监测内容</w:t>
      </w:r>
    </w:p>
    <w:tbl>
      <w:tblPr>
        <w:tblStyle w:val="4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8"/>
        <w:gridCol w:w="1156"/>
        <w:gridCol w:w="1786"/>
        <w:gridCol w:w="2108"/>
        <w:gridCol w:w="27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433" w:type="pct"/>
            <w:vAlign w:val="center"/>
          </w:tcPr>
          <w:p>
            <w:pPr>
              <w:spacing w:line="380" w:lineRule="exact"/>
              <w:jc w:val="center"/>
              <w:rPr>
                <w:rFonts w:hint="default" w:ascii="Times New Roman" w:hAnsi="Times New Roman" w:cs="Times New Roman"/>
                <w:szCs w:val="24"/>
              </w:rPr>
            </w:pPr>
            <w:bookmarkStart w:id="30" w:name="_Toc26765"/>
            <w:r>
              <w:rPr>
                <w:rFonts w:hint="default" w:ascii="Times New Roman" w:hAnsi="Times New Roman" w:cs="Times New Roman"/>
                <w:szCs w:val="24"/>
              </w:rPr>
              <w:t>序号</w:t>
            </w:r>
          </w:p>
        </w:tc>
        <w:tc>
          <w:tcPr>
            <w:tcW w:w="1726" w:type="pct"/>
            <w:gridSpan w:val="2"/>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监测点</w:t>
            </w:r>
          </w:p>
        </w:tc>
        <w:tc>
          <w:tcPr>
            <w:tcW w:w="1237"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szCs w:val="24"/>
              </w:rPr>
            </w:pPr>
            <w:r>
              <w:rPr>
                <w:rFonts w:hint="default" w:ascii="Times New Roman" w:hAnsi="Times New Roman" w:cs="Times New Roman"/>
                <w:szCs w:val="24"/>
              </w:rPr>
              <w:t>监测因子</w:t>
            </w:r>
          </w:p>
        </w:tc>
        <w:tc>
          <w:tcPr>
            <w:tcW w:w="1604" w:type="pct"/>
            <w:tcBorders>
              <w:lef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1#</w:t>
            </w:r>
          </w:p>
        </w:tc>
        <w:tc>
          <w:tcPr>
            <w:tcW w:w="678" w:type="pct"/>
            <w:vMerge w:val="restar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厂区</w:t>
            </w: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东厂界外1m</w:t>
            </w:r>
          </w:p>
        </w:tc>
        <w:tc>
          <w:tcPr>
            <w:tcW w:w="1237" w:type="pct"/>
            <w:vMerge w:val="restart"/>
            <w:tcBorders>
              <w:righ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等效连续A声级</w:t>
            </w:r>
          </w:p>
        </w:tc>
        <w:tc>
          <w:tcPr>
            <w:tcW w:w="1604" w:type="pct"/>
            <w:vMerge w:val="restart"/>
            <w:tcBorders>
              <w:lef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连续2天，每昼间1次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2#</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Cs w:val="24"/>
              </w:rPr>
            </w:pP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南厂界外1m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3#</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Cs w:val="24"/>
              </w:rPr>
            </w:pP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西厂界外1m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 w:hRule="atLeast"/>
        </w:trPr>
        <w:tc>
          <w:tcPr>
            <w:tcW w:w="433" w:type="pct"/>
            <w:vAlign w:val="center"/>
          </w:tcPr>
          <w:p>
            <w:pPr>
              <w:widowControl/>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 w:val="24"/>
                <w:szCs w:val="24"/>
              </w:rPr>
            </w:pPr>
          </w:p>
        </w:tc>
        <w:tc>
          <w:tcPr>
            <w:tcW w:w="1048" w:type="pct"/>
            <w:vAlign w:val="center"/>
          </w:tcPr>
          <w:p>
            <w:pPr>
              <w:widowControl/>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Cs w:val="24"/>
              </w:rPr>
              <w:t>北厂界外1m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 w:val="24"/>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 w:val="24"/>
                <w:szCs w:val="24"/>
              </w:rPr>
            </w:pPr>
          </w:p>
        </w:tc>
      </w:tr>
    </w:tbl>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pStyle w:val="2"/>
        <w:rPr>
          <w:rFonts w:hint="default" w:ascii="Times New Roman" w:hAnsi="Times New Roman" w:eastAsia="黑体" w:cs="Times New Roman"/>
          <w:color w:val="000000"/>
          <w:sz w:val="28"/>
          <w:szCs w:val="28"/>
        </w:rPr>
      </w:pPr>
    </w:p>
    <w:p>
      <w:pPr>
        <w:pStyle w:val="4"/>
        <w:rPr>
          <w:rFonts w:hint="default" w:ascii="Times New Roman" w:hAnsi="Times New Roman" w:cs="Times New Roman"/>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cs="Times New Roman"/>
          <w:color w:val="000000"/>
        </w:rPr>
      </w:pPr>
      <w:r>
        <w:rPr>
          <w:rFonts w:hint="default" w:ascii="Times New Roman" w:hAnsi="Times New Roman" w:eastAsia="黑体" w:cs="Times New Roman"/>
          <w:color w:val="000000"/>
          <w:sz w:val="28"/>
          <w:szCs w:val="28"/>
        </w:rPr>
        <w:t>8、质量保证及质量控制</w:t>
      </w:r>
      <w:bookmarkEnd w:id="30"/>
    </w:p>
    <w:p>
      <w:pPr>
        <w:pStyle w:val="5"/>
        <w:keepNext w:val="0"/>
        <w:keepLines w:val="0"/>
        <w:adjustRightInd w:val="0"/>
        <w:snapToGrid w:val="0"/>
        <w:spacing w:line="500" w:lineRule="exact"/>
        <w:rPr>
          <w:rFonts w:hint="default" w:ascii="Times New Roman" w:hAnsi="Times New Roman" w:cs="Times New Roman"/>
          <w:color w:val="000000"/>
          <w:sz w:val="24"/>
          <w:szCs w:val="24"/>
        </w:rPr>
      </w:pPr>
      <w:bookmarkStart w:id="31" w:name="_Toc21361"/>
      <w:r>
        <w:rPr>
          <w:rFonts w:hint="default" w:ascii="Times New Roman" w:hAnsi="Times New Roman" w:cs="Times New Roman"/>
          <w:color w:val="000000"/>
          <w:sz w:val="24"/>
          <w:szCs w:val="24"/>
        </w:rPr>
        <w:t>8.1监测分析方法</w:t>
      </w:r>
      <w:bookmarkEnd w:id="31"/>
      <w:r>
        <w:rPr>
          <w:rFonts w:hint="default" w:ascii="Times New Roman" w:hAnsi="Times New Roman" w:cs="Times New Roman"/>
          <w:color w:val="000000"/>
          <w:sz w:val="24"/>
          <w:szCs w:val="24"/>
        </w:rPr>
        <w:t>及监测仪器</w:t>
      </w:r>
    </w:p>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项目监测分析方法及监测仪器见表8-1。</w:t>
      </w:r>
    </w:p>
    <w:p>
      <w:pPr>
        <w:adjustRightInd w:val="0"/>
        <w:snapToGrid w:val="0"/>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表8-1                   项目监测分析方法一览表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15"/>
        <w:gridCol w:w="2844"/>
        <w:gridCol w:w="216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样品类别</w:t>
            </w:r>
          </w:p>
        </w:tc>
        <w:tc>
          <w:tcPr>
            <w:tcW w:w="654"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检测项目</w:t>
            </w:r>
          </w:p>
        </w:tc>
        <w:tc>
          <w:tcPr>
            <w:tcW w:w="1668"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分析方法</w:t>
            </w:r>
          </w:p>
        </w:tc>
        <w:tc>
          <w:tcPr>
            <w:tcW w:w="126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仪器名称/型号/编号</w:t>
            </w:r>
          </w:p>
        </w:tc>
        <w:tc>
          <w:tcPr>
            <w:tcW w:w="752"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restar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有组织</w:t>
            </w:r>
          </w:p>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szCs w:val="21"/>
              </w:rPr>
              <w:t>废气</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硫酸雾</w:t>
            </w:r>
          </w:p>
        </w:tc>
        <w:tc>
          <w:tcPr>
            <w:tcW w:w="1668"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kern w:val="0"/>
                <w:sz w:val="21"/>
                <w:szCs w:val="21"/>
                <w:lang w:bidi="ar"/>
              </w:rPr>
              <w:t>固定污染源废气 硫酸雾的测定 离子色谱法</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 xml:space="preserve"> </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kern w:val="0"/>
                <w:sz w:val="21"/>
                <w:szCs w:val="21"/>
                <w:lang w:bidi="ar"/>
              </w:rPr>
              <w:t>HJ 544-2016</w:t>
            </w:r>
          </w:p>
        </w:tc>
        <w:tc>
          <w:tcPr>
            <w:tcW w:w="1267"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i w:val="0"/>
                <w:color w:val="auto"/>
                <w:sz w:val="21"/>
                <w:szCs w:val="21"/>
                <w:u w:val="none"/>
                <w:lang w:val="en-US" w:eastAsia="zh-CN" w:bidi="ar-SA"/>
              </w:rPr>
            </w:pPr>
            <w:r>
              <w:rPr>
                <w:rFonts w:hint="default" w:ascii="Times New Roman" w:hAnsi="Times New Roman" w:eastAsia="宋体" w:cs="Times New Roman"/>
                <w:i w:val="0"/>
                <w:color w:val="auto"/>
                <w:sz w:val="21"/>
                <w:szCs w:val="21"/>
                <w:u w:val="none"/>
                <w:lang w:val="en-US" w:eastAsia="zh-CN" w:bidi="ar-SA"/>
              </w:rPr>
              <w:t>离子色谱仪</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i w:val="0"/>
                <w:color w:val="auto"/>
                <w:sz w:val="21"/>
                <w:szCs w:val="21"/>
                <w:u w:val="none"/>
                <w:lang w:val="en-US" w:eastAsia="zh-CN" w:bidi="ar-SA"/>
              </w:rPr>
            </w:pPr>
            <w:r>
              <w:rPr>
                <w:rFonts w:hint="default" w:ascii="Times New Roman" w:hAnsi="Times New Roman" w:eastAsia="宋体" w:cs="Times New Roman"/>
                <w:i w:val="0"/>
                <w:color w:val="auto"/>
                <w:sz w:val="21"/>
                <w:szCs w:val="21"/>
                <w:u w:val="none"/>
                <w:lang w:val="en-US" w:eastAsia="zh-CN" w:bidi="ar-SA"/>
              </w:rPr>
              <w:t>CIC-D100</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i w:val="0"/>
                <w:color w:val="auto"/>
                <w:sz w:val="21"/>
                <w:szCs w:val="21"/>
                <w:u w:val="none"/>
                <w:lang w:val="en-US" w:eastAsia="zh-CN" w:bidi="ar-SA"/>
              </w:rPr>
              <w:t>YFYQ-007-2020</w:t>
            </w:r>
          </w:p>
        </w:tc>
        <w:tc>
          <w:tcPr>
            <w:tcW w:w="752"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b w:val="0"/>
                <w:bCs w:val="0"/>
                <w:color w:val="auto"/>
                <w:sz w:val="21"/>
                <w:szCs w:val="21"/>
                <w:highlight w:val="none"/>
                <w:vertAlign w:val="baseli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rPr>
              <w:t>氨</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《环境空气和废气 氨的测定 纳氏试剂分光光度法》</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bidi="ar"/>
              </w:rPr>
              <w:t xml:space="preserve"> HJ 533-2009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紫外可见分光光度计</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T6新世纪</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rPr>
              <w:t>YFYQ-009-2020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0.25</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rPr>
              <w:t xml:space="preserve"> 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b/>
                <w:bCs/>
                <w:szCs w:val="21"/>
              </w:rPr>
            </w:pPr>
            <w:r>
              <w:rPr>
                <w:rFonts w:hint="default" w:ascii="Times New Roman" w:hAnsi="Times New Roman" w:eastAsia="宋体" w:cs="Times New Roman"/>
                <w:color w:val="auto"/>
                <w:sz w:val="21"/>
                <w:szCs w:val="21"/>
                <w:lang w:val="en-US" w:eastAsia="zh-CN"/>
              </w:rPr>
              <w:t>硝酸雾（以氮氧化物计）</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《固定污染源废气 氮氧化物的测定 定电位电解法 》</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val="en-US" w:eastAsia="zh-CN"/>
              </w:rPr>
              <w:t>HJ 693-2014</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低浓度烟尘（气）测试仪TW-3200D</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YFYQ-062-08-2021</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低浓度烟尘（气）测试仪TW-3200D</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val="en-US" w:eastAsia="zh-CN"/>
              </w:rPr>
              <w:t>YFYQ-062-09-2023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color w:val="000000"/>
                <w:szCs w:val="21"/>
              </w:rPr>
            </w:pPr>
            <w:r>
              <w:rPr>
                <w:rFonts w:hint="default" w:ascii="Times New Roman" w:hAnsi="Times New Roman" w:eastAsia="宋体" w:cs="Times New Roman"/>
                <w:b w:val="0"/>
                <w:bCs w:val="0"/>
                <w:color w:val="auto"/>
                <w:sz w:val="21"/>
                <w:szCs w:val="21"/>
                <w:vertAlign w:val="baseline"/>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lang w:eastAsia="zh-CN"/>
              </w:rPr>
              <w:t xml:space="preserve">废气流量 </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《固定污染源排气中颗粒物测定与气态污染物采样方法 》（7 排气中流速流量的测定）</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kern w:val="0"/>
                <w:sz w:val="21"/>
                <w:szCs w:val="21"/>
                <w:lang w:bidi="ar"/>
              </w:rPr>
              <w:t>GB/T 16157-1996及修改单</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低浓度烟尘（气）测试仪TW-3200D</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YFYQ-062-08-2021</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低浓度烟尘（气）测试仪TW-3200D</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val="en-US" w:eastAsia="zh-CN"/>
              </w:rPr>
              <w:t>YFYQ-062-09-2023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restar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无组织</w:t>
            </w:r>
          </w:p>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硫酸雾</w:t>
            </w:r>
          </w:p>
        </w:tc>
        <w:tc>
          <w:tcPr>
            <w:tcW w:w="1668"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kern w:val="0"/>
                <w:sz w:val="21"/>
                <w:szCs w:val="21"/>
                <w:lang w:bidi="ar"/>
              </w:rPr>
              <w:t>固定污染源废气 硫酸雾的测定 离子色谱法</w:t>
            </w:r>
            <w:r>
              <w:rPr>
                <w:rFonts w:hint="default" w:ascii="Times New Roman" w:hAnsi="Times New Roman" w:eastAsia="宋体" w:cs="Times New Roman"/>
                <w:color w:val="auto"/>
                <w:sz w:val="21"/>
                <w:szCs w:val="21"/>
                <w:lang w:val="en-US" w:eastAsia="zh-CN"/>
              </w:rPr>
              <w:t>》</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kern w:val="0"/>
                <w:sz w:val="21"/>
                <w:szCs w:val="21"/>
                <w:lang w:bidi="ar"/>
              </w:rPr>
              <w:t>HJ 544-2016</w:t>
            </w:r>
          </w:p>
        </w:tc>
        <w:tc>
          <w:tcPr>
            <w:tcW w:w="1267"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i w:val="0"/>
                <w:color w:val="auto"/>
                <w:sz w:val="21"/>
                <w:szCs w:val="21"/>
                <w:u w:val="none"/>
                <w:lang w:val="en-US" w:eastAsia="zh-CN" w:bidi="ar-SA"/>
              </w:rPr>
            </w:pPr>
            <w:r>
              <w:rPr>
                <w:rFonts w:hint="default" w:ascii="Times New Roman" w:hAnsi="Times New Roman" w:eastAsia="宋体" w:cs="Times New Roman"/>
                <w:i w:val="0"/>
                <w:color w:val="auto"/>
                <w:sz w:val="21"/>
                <w:szCs w:val="21"/>
                <w:u w:val="none"/>
                <w:lang w:val="en-US" w:eastAsia="zh-CN" w:bidi="ar-SA"/>
              </w:rPr>
              <w:t>离子色谱仪</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i w:val="0"/>
                <w:color w:val="auto"/>
                <w:sz w:val="21"/>
                <w:szCs w:val="21"/>
                <w:u w:val="none"/>
                <w:lang w:val="en-US" w:eastAsia="zh-CN" w:bidi="ar-SA"/>
              </w:rPr>
            </w:pPr>
            <w:r>
              <w:rPr>
                <w:rFonts w:hint="default" w:ascii="Times New Roman" w:hAnsi="Times New Roman" w:eastAsia="宋体" w:cs="Times New Roman"/>
                <w:i w:val="0"/>
                <w:color w:val="auto"/>
                <w:sz w:val="21"/>
                <w:szCs w:val="21"/>
                <w:u w:val="none"/>
                <w:lang w:val="en-US" w:eastAsia="zh-CN" w:bidi="ar-SA"/>
              </w:rPr>
              <w:t>CIC-D100</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i w:val="0"/>
                <w:color w:val="auto"/>
                <w:sz w:val="21"/>
                <w:szCs w:val="21"/>
                <w:u w:val="none"/>
                <w:lang w:val="en-US" w:eastAsia="zh-CN" w:bidi="ar-SA"/>
              </w:rPr>
              <w:t>YFYQ-007-2020</w:t>
            </w:r>
          </w:p>
        </w:tc>
        <w:tc>
          <w:tcPr>
            <w:tcW w:w="752"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0.005</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b w:val="0"/>
                <w:bCs w:val="0"/>
                <w:color w:val="auto"/>
                <w:sz w:val="21"/>
                <w:szCs w:val="21"/>
                <w:highlight w:val="none"/>
                <w:vertAlign w:val="baseli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b/>
                <w:bCs/>
                <w:szCs w:val="21"/>
              </w:rPr>
            </w:pPr>
            <w:r>
              <w:rPr>
                <w:rFonts w:hint="default" w:ascii="Times New Roman" w:hAnsi="Times New Roman" w:eastAsia="宋体" w:cs="Times New Roman"/>
                <w:color w:val="auto"/>
                <w:sz w:val="21"/>
                <w:szCs w:val="21"/>
                <w:lang w:val="en-US" w:eastAsia="zh-CN"/>
              </w:rPr>
              <w:t>氨</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《环境空气和废气 氨的测定 纳氏试剂分光光度法》</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val="en-US" w:eastAsia="zh-CN"/>
              </w:rPr>
              <w:t>HJ 533-2009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可见分光光度计</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721</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eastAsia="宋体" w:cs="Times New Roman"/>
                <w:color w:val="auto"/>
                <w:sz w:val="21"/>
                <w:szCs w:val="21"/>
                <w:lang w:val="en-US" w:eastAsia="zh-CN"/>
              </w:rPr>
              <w:t>YFYQ-095-2023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color w:val="auto"/>
                <w:sz w:val="21"/>
                <w:szCs w:val="21"/>
                <w:lang w:val="en-US" w:eastAsia="zh-CN"/>
              </w:rPr>
              <w:t>0.01 mg/m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b/>
                <w:bCs/>
                <w:szCs w:val="21"/>
              </w:rPr>
            </w:pPr>
            <w:r>
              <w:rPr>
                <w:rFonts w:hint="default" w:ascii="Times New Roman" w:hAnsi="Times New Roman" w:eastAsia="宋体" w:cs="Times New Roman"/>
                <w:color w:val="auto"/>
                <w:sz w:val="21"/>
                <w:szCs w:val="21"/>
                <w:lang w:val="en-US" w:eastAsia="zh-CN"/>
              </w:rPr>
              <w:t>氮氧化物</w:t>
            </w:r>
          </w:p>
        </w:tc>
        <w:tc>
          <w:tcPr>
            <w:tcW w:w="1668"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《环境空气 氮氧化物（一氧化氮和二氧化氮）测定 盐酸萘乙二胺分光光度法》</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lang w:bidi="ar"/>
              </w:rPr>
              <w:t>HJ 479-2009及修改单</w:t>
            </w:r>
          </w:p>
        </w:tc>
        <w:tc>
          <w:tcPr>
            <w:tcW w:w="1267" w:type="pct"/>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紫外可见分光光度计</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lang w:bidi="ar"/>
              </w:rPr>
              <w:t>T6新世纪YFYQ-009-2020</w:t>
            </w:r>
          </w:p>
        </w:tc>
        <w:tc>
          <w:tcPr>
            <w:tcW w:w="752" w:type="pct"/>
            <w:vAlign w:val="center"/>
          </w:tcPr>
          <w:p>
            <w:pPr>
              <w:keepNext w:val="0"/>
              <w:keepLines w:val="0"/>
              <w:pageBreakBefore w:val="0"/>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eastAsia="zh-CN"/>
              </w:rPr>
              <w:t>颗粒物</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color w:val="000000"/>
                <w:szCs w:val="21"/>
              </w:rPr>
            </w:pPr>
            <w:r>
              <w:rPr>
                <w:rFonts w:hint="default" w:ascii="Times New Roman" w:hAnsi="Times New Roman" w:eastAsia="宋体" w:cs="Times New Roman"/>
                <w:color w:val="auto"/>
                <w:kern w:val="0"/>
                <w:sz w:val="21"/>
                <w:szCs w:val="21"/>
                <w:lang w:eastAsia="zh-CN" w:bidi="ar"/>
              </w:rPr>
              <w:t>《环境空气总悬浮颗粒物的测定重量法》HJ1263-2022</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电子天平</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AUW120D</w:t>
            </w:r>
          </w:p>
          <w:p>
            <w:pPr>
              <w:keepNext w:val="0"/>
              <w:keepLines w:val="0"/>
              <w:pageBreakBefore w:val="0"/>
              <w:widowControl/>
              <w:suppressLineNumbers w:val="0"/>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lang w:val="en-US" w:eastAsia="zh-CN"/>
              </w:rPr>
              <w:t>YFYQ-011-2020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 xml:space="preserve"> μg/m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restar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废水</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pH值</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水质 pH</w:t>
            </w:r>
            <w:r>
              <w:rPr>
                <w:rFonts w:hint="default" w:ascii="Times New Roman" w:hAnsi="Times New Roman" w:eastAsia="宋体" w:cs="Times New Roman"/>
                <w:color w:val="auto"/>
                <w:kern w:val="0"/>
                <w:sz w:val="21"/>
                <w:szCs w:val="21"/>
                <w:lang w:eastAsia="zh-CN" w:bidi="ar"/>
              </w:rPr>
              <w:t>值的测定 电极法</w:t>
            </w:r>
            <w:r>
              <w:rPr>
                <w:rFonts w:hint="default" w:ascii="Times New Roman" w:hAnsi="Times New Roman" w:eastAsia="宋体" w:cs="Times New Roman"/>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kern w:val="0"/>
                <w:sz w:val="21"/>
                <w:szCs w:val="21"/>
                <w:lang w:bidi="ar"/>
              </w:rPr>
              <w:t xml:space="preserve">HJ </w:t>
            </w:r>
            <w:r>
              <w:rPr>
                <w:rFonts w:hint="default" w:ascii="Times New Roman" w:hAnsi="Times New Roman" w:eastAsia="宋体" w:cs="Times New Roman"/>
                <w:color w:val="auto"/>
                <w:kern w:val="0"/>
                <w:sz w:val="21"/>
                <w:szCs w:val="21"/>
                <w:lang w:val="en-US" w:eastAsia="zh-CN" w:bidi="ar"/>
              </w:rPr>
              <w:t>1147</w:t>
            </w:r>
            <w:r>
              <w:rPr>
                <w:rFonts w:hint="default" w:ascii="Times New Roman" w:hAnsi="Times New Roman" w:eastAsia="宋体" w:cs="Times New Roman"/>
                <w:color w:val="auto"/>
                <w:kern w:val="0"/>
                <w:sz w:val="21"/>
                <w:szCs w:val="21"/>
                <w:lang w:bidi="ar"/>
              </w:rPr>
              <w:t>-20</w:t>
            </w:r>
            <w:r>
              <w:rPr>
                <w:rFonts w:hint="default" w:ascii="Times New Roman" w:hAnsi="Times New Roman" w:eastAsia="宋体" w:cs="Times New Roman"/>
                <w:color w:val="auto"/>
                <w:kern w:val="0"/>
                <w:sz w:val="21"/>
                <w:szCs w:val="21"/>
                <w:lang w:val="en-US" w:eastAsia="zh-CN" w:bidi="ar"/>
              </w:rPr>
              <w:t>20</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便携式pH计</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PHB-4</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YFYQ-023-04-2021</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b w:val="0"/>
                <w:bCs w:val="0"/>
                <w:color w:val="auto"/>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化学需</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氧量</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水质 化学需氧量的测定 重铬酸盐法</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 xml:space="preserve"> HJ 828-2017</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酸式滴定管</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五日生化</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需氧量</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lang w:val="en-US" w:eastAsia="zh-CN"/>
              </w:rPr>
              <w:t>水质 五日生化需氧量（BOD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）的测定 稀释与接种法</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lang w:val="en-US" w:eastAsia="zh-CN"/>
              </w:rPr>
              <w:t>HJ 505-2009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生化培养箱</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SPX-150B</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YFYQ-013-2020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氨氮</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《水质 氨氮的测定 纳氏试剂分光光度法》HJ 535-2009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可见分光光度计</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rPr>
              <w:t>721</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YFYQ-095-2023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0.025</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悬浮物</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《水质 悬浮物的测定 重量法》GB/T 11901-1989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电子分析天平</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FA224</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YFYQ-012-2020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kern w:val="0"/>
                <w:sz w:val="21"/>
                <w:szCs w:val="21"/>
                <w:shd w:val="clear" w:color="auto" w:fill="FFFFFF"/>
                <w:lang w:val="en-US" w:eastAsia="zh-CN" w:bidi="ar"/>
              </w:rPr>
            </w:pPr>
            <w:r>
              <w:rPr>
                <w:rFonts w:hint="default" w:ascii="Times New Roman" w:hAnsi="Times New Roman" w:eastAsia="宋体" w:cs="Times New Roman"/>
                <w:color w:val="auto"/>
                <w:kern w:val="0"/>
                <w:sz w:val="21"/>
                <w:szCs w:val="21"/>
                <w:shd w:val="clear" w:color="auto" w:fill="FFFFFF"/>
                <w:lang w:val="en-US" w:eastAsia="zh-CN" w:bidi="ar"/>
              </w:rPr>
              <w:t>厂界环境</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kern w:val="0"/>
                <w:sz w:val="21"/>
                <w:szCs w:val="21"/>
                <w:shd w:val="clear" w:color="auto" w:fill="FFFFFF"/>
                <w:lang w:val="en-US" w:eastAsia="zh-CN" w:bidi="ar"/>
              </w:rPr>
              <w:t>噪声</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《工业企业厂界环境噪声排放标准》GB 12348-2008</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多功能声级计</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AWA5688</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YFYQ-044-08-2023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highlight w:val="none"/>
                <w:lang w:val="en-US" w:eastAsia="zh-CN" w:bidi="ar-SA"/>
              </w:rPr>
              <w:t>/</w:t>
            </w:r>
          </w:p>
        </w:tc>
      </w:tr>
    </w:tbl>
    <w:p>
      <w:pPr>
        <w:pStyle w:val="5"/>
        <w:keepNext w:val="0"/>
        <w:keepLines w:val="0"/>
        <w:adjustRightInd w:val="0"/>
        <w:snapToGrid w:val="0"/>
        <w:spacing w:line="520" w:lineRule="exact"/>
        <w:rPr>
          <w:rFonts w:hint="default" w:ascii="Times New Roman" w:hAnsi="Times New Roman" w:cs="Times New Roman"/>
          <w:color w:val="000000"/>
          <w:sz w:val="24"/>
          <w:szCs w:val="24"/>
        </w:rPr>
      </w:pPr>
      <w:bookmarkStart w:id="32" w:name="_Toc31344"/>
      <w:r>
        <w:rPr>
          <w:rFonts w:hint="default" w:ascii="Times New Roman" w:hAnsi="Times New Roman" w:cs="Times New Roman"/>
          <w:color w:val="000000"/>
          <w:sz w:val="24"/>
          <w:szCs w:val="24"/>
        </w:rPr>
        <w:t>8.2</w:t>
      </w:r>
      <w:bookmarkEnd w:id="32"/>
      <w:bookmarkStart w:id="33" w:name="_Toc508698669"/>
      <w:r>
        <w:rPr>
          <w:rFonts w:hint="default" w:ascii="Times New Roman" w:hAnsi="Times New Roman" w:cs="Times New Roman"/>
          <w:color w:val="000000"/>
          <w:sz w:val="24"/>
          <w:szCs w:val="24"/>
        </w:rPr>
        <w:t>质量保证和质量控制</w:t>
      </w:r>
      <w:bookmarkEnd w:id="33"/>
    </w:p>
    <w:p>
      <w:pPr>
        <w:spacing w:line="520" w:lineRule="exact"/>
        <w:ind w:firstLine="480" w:firstLineChars="200"/>
        <w:rPr>
          <w:rFonts w:hint="default" w:ascii="Times New Roman" w:hAnsi="Times New Roman" w:cs="Times New Roman"/>
          <w:sz w:val="24"/>
        </w:rPr>
      </w:pPr>
      <w:bookmarkStart w:id="34" w:name="_Toc24301"/>
      <w:r>
        <w:rPr>
          <w:rFonts w:hint="default" w:ascii="Times New Roman" w:hAnsi="Times New Roman" w:cs="Times New Roman"/>
          <w:sz w:val="24"/>
        </w:rPr>
        <w:t>本次检测采样及样品分析均严格执行国家相关的采样、分析的标准及方法，实施全过程（布点、采样、样品贮运、实验室分析、数据处理、报告审核等）的质量保证。</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lang w:eastAsia="zh-CN"/>
        </w:rPr>
        <w:t>）</w:t>
      </w:r>
      <w:r>
        <w:rPr>
          <w:rFonts w:hint="default" w:ascii="Times New Roman" w:hAnsi="Times New Roman" w:cs="Times New Roman"/>
          <w:sz w:val="24"/>
        </w:rPr>
        <w:t>所有检测及分析仪器均在有效检定期内，并参照有关计量检定规程定期校验和维护。</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r>
        <w:rPr>
          <w:rFonts w:hint="default" w:ascii="Times New Roman" w:hAnsi="Times New Roman" w:cs="Times New Roman"/>
          <w:sz w:val="24"/>
        </w:rPr>
        <w:t>检测人员均经考核合格，并持证上岗。</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本</w:t>
      </w:r>
      <w:r>
        <w:rPr>
          <w:rFonts w:hint="default" w:ascii="Times New Roman" w:hAnsi="Times New Roman" w:cs="Times New Roman"/>
          <w:sz w:val="24"/>
        </w:rPr>
        <w:t>项目按</w:t>
      </w:r>
      <w:r>
        <w:rPr>
          <w:rFonts w:hint="default" w:ascii="Times New Roman" w:hAnsi="Times New Roman" w:cs="Times New Roman"/>
          <w:sz w:val="24"/>
          <w:lang w:val="en-US" w:eastAsia="zh-CN"/>
        </w:rPr>
        <w:t>照</w:t>
      </w:r>
      <w:r>
        <w:rPr>
          <w:rFonts w:hint="default" w:ascii="Times New Roman" w:hAnsi="Times New Roman" w:cs="Times New Roman"/>
          <w:sz w:val="24"/>
          <w:lang w:eastAsia="zh-CN"/>
        </w:rPr>
        <w:t>《</w:t>
      </w:r>
      <w:r>
        <w:rPr>
          <w:rFonts w:hint="default" w:ascii="Times New Roman" w:hAnsi="Times New Roman" w:cs="Times New Roman"/>
          <w:sz w:val="24"/>
        </w:rPr>
        <w:t>固定源废气监测技术规范</w:t>
      </w:r>
      <w:r>
        <w:rPr>
          <w:rFonts w:hint="default" w:ascii="Times New Roman" w:hAnsi="Times New Roman" w:cs="Times New Roman"/>
          <w:sz w:val="24"/>
          <w:lang w:eastAsia="zh-CN"/>
        </w:rPr>
        <w:t>》（</w:t>
      </w:r>
      <w:r>
        <w:rPr>
          <w:rFonts w:hint="default" w:ascii="Times New Roman" w:hAnsi="Times New Roman" w:cs="Times New Roman"/>
          <w:sz w:val="24"/>
        </w:rPr>
        <w:t>HJ</w:t>
      </w:r>
      <w:r>
        <w:rPr>
          <w:rFonts w:hint="default" w:ascii="Times New Roman" w:hAnsi="Times New Roman" w:cs="Times New Roman"/>
          <w:sz w:val="24"/>
          <w:lang w:val="en-US" w:eastAsia="zh-CN"/>
        </w:rPr>
        <w:t>/</w:t>
      </w:r>
      <w:r>
        <w:rPr>
          <w:rFonts w:hint="default" w:ascii="Times New Roman" w:hAnsi="Times New Roman" w:cs="Times New Roman"/>
          <w:sz w:val="24"/>
        </w:rPr>
        <w:t>T 397-2007</w:t>
      </w:r>
      <w:r>
        <w:rPr>
          <w:rFonts w:hint="default" w:ascii="Times New Roman" w:hAnsi="Times New Roman" w:cs="Times New Roman"/>
          <w:sz w:val="24"/>
          <w:lang w:eastAsia="zh-CN"/>
        </w:rPr>
        <w:t>）、《</w:t>
      </w:r>
      <w:r>
        <w:rPr>
          <w:rFonts w:hint="default" w:ascii="Times New Roman" w:hAnsi="Times New Roman" w:cs="Times New Roman"/>
          <w:sz w:val="24"/>
        </w:rPr>
        <w:t>固定污染源监测质量保证与质量控制技术规范（试行）</w:t>
      </w:r>
      <w:r>
        <w:rPr>
          <w:rFonts w:hint="default" w:ascii="Times New Roman" w:hAnsi="Times New Roman" w:cs="Times New Roman"/>
          <w:sz w:val="24"/>
          <w:lang w:eastAsia="zh-CN"/>
        </w:rPr>
        <w:t>》（</w:t>
      </w:r>
      <w:r>
        <w:rPr>
          <w:rFonts w:hint="default" w:ascii="Times New Roman" w:hAnsi="Times New Roman" w:cs="Times New Roman"/>
          <w:sz w:val="24"/>
        </w:rPr>
        <w:t>HJ</w:t>
      </w:r>
      <w:r>
        <w:rPr>
          <w:rFonts w:hint="default" w:ascii="Times New Roman" w:hAnsi="Times New Roman" w:cs="Times New Roman"/>
          <w:sz w:val="24"/>
          <w:lang w:val="en-US" w:eastAsia="zh-CN"/>
        </w:rPr>
        <w:t>/</w:t>
      </w:r>
      <w:r>
        <w:rPr>
          <w:rFonts w:hint="default" w:ascii="Times New Roman" w:hAnsi="Times New Roman" w:cs="Times New Roman"/>
          <w:sz w:val="24"/>
        </w:rPr>
        <w:t>T 373-2007</w:t>
      </w:r>
      <w:r>
        <w:rPr>
          <w:rFonts w:hint="default" w:ascii="Times New Roman" w:hAnsi="Times New Roman" w:cs="Times New Roman"/>
          <w:sz w:val="24"/>
          <w:lang w:eastAsia="zh-CN"/>
        </w:rPr>
        <w:t>）、《</w:t>
      </w:r>
      <w:r>
        <w:rPr>
          <w:rFonts w:hint="default" w:ascii="Times New Roman" w:hAnsi="Times New Roman" w:cs="Times New Roman"/>
          <w:sz w:val="24"/>
        </w:rPr>
        <w:t>大气污染物无组织排放监测技术导则</w:t>
      </w:r>
      <w:r>
        <w:rPr>
          <w:rFonts w:hint="default" w:ascii="Times New Roman" w:hAnsi="Times New Roman" w:cs="Times New Roman"/>
          <w:sz w:val="24"/>
          <w:lang w:eastAsia="zh-CN"/>
        </w:rPr>
        <w:t>》（</w:t>
      </w:r>
      <w:r>
        <w:rPr>
          <w:rFonts w:hint="default" w:ascii="Times New Roman" w:hAnsi="Times New Roman" w:cs="Times New Roman"/>
          <w:sz w:val="24"/>
        </w:rPr>
        <w:t>HJ</w:t>
      </w:r>
      <w:r>
        <w:rPr>
          <w:rFonts w:hint="default" w:ascii="Times New Roman" w:hAnsi="Times New Roman" w:cs="Times New Roman"/>
          <w:sz w:val="24"/>
          <w:lang w:val="en-US" w:eastAsia="zh-CN"/>
        </w:rPr>
        <w:t>/</w:t>
      </w:r>
      <w:r>
        <w:rPr>
          <w:rFonts w:hint="default" w:ascii="Times New Roman" w:hAnsi="Times New Roman" w:cs="Times New Roman"/>
          <w:sz w:val="24"/>
        </w:rPr>
        <w:t>T 55-2000</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w:t>
      </w:r>
      <w:r>
        <w:rPr>
          <w:rFonts w:hint="default" w:ascii="Times New Roman" w:hAnsi="Times New Roman" w:cs="Times New Roman"/>
          <w:sz w:val="24"/>
          <w:lang w:eastAsia="zh-CN"/>
        </w:rPr>
        <w:t>《</w:t>
      </w:r>
      <w:r>
        <w:rPr>
          <w:rFonts w:hint="default" w:ascii="Times New Roman" w:hAnsi="Times New Roman" w:cs="Times New Roman"/>
          <w:sz w:val="24"/>
        </w:rPr>
        <w:t>污水监测技术规范</w:t>
      </w:r>
      <w:r>
        <w:rPr>
          <w:rFonts w:hint="default" w:ascii="Times New Roman" w:hAnsi="Times New Roman" w:cs="Times New Roman"/>
          <w:sz w:val="24"/>
          <w:lang w:eastAsia="zh-CN"/>
        </w:rPr>
        <w:t>》（</w:t>
      </w:r>
      <w:r>
        <w:rPr>
          <w:rFonts w:hint="default" w:ascii="Times New Roman" w:hAnsi="Times New Roman" w:cs="Times New Roman"/>
          <w:sz w:val="24"/>
        </w:rPr>
        <w:t>HJ91.1-2019</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w:t>
      </w:r>
      <w:r>
        <w:rPr>
          <w:rFonts w:hint="default" w:ascii="Times New Roman" w:hAnsi="Times New Roman" w:cs="Times New Roman"/>
          <w:sz w:val="24"/>
          <w:lang w:eastAsia="zh-CN"/>
        </w:rPr>
        <w:t>《</w:t>
      </w:r>
      <w:r>
        <w:rPr>
          <w:rFonts w:hint="default" w:ascii="Times New Roman" w:hAnsi="Times New Roman" w:cs="Times New Roman"/>
          <w:sz w:val="24"/>
        </w:rPr>
        <w:t>工业企业厂界环境噪声排放标准</w:t>
      </w:r>
      <w:r>
        <w:rPr>
          <w:rFonts w:hint="default" w:ascii="Times New Roman" w:hAnsi="Times New Roman" w:cs="Times New Roman"/>
          <w:sz w:val="24"/>
          <w:lang w:eastAsia="zh-CN"/>
        </w:rPr>
        <w:t>》（</w:t>
      </w:r>
      <w:r>
        <w:rPr>
          <w:rFonts w:hint="default" w:ascii="Times New Roman" w:hAnsi="Times New Roman" w:cs="Times New Roman"/>
          <w:sz w:val="24"/>
        </w:rPr>
        <w:t>GB 12348-2008</w:t>
      </w:r>
      <w:r>
        <w:rPr>
          <w:rFonts w:hint="default" w:ascii="Times New Roman" w:hAnsi="Times New Roman" w:cs="Times New Roman"/>
          <w:sz w:val="24"/>
          <w:lang w:eastAsia="zh-CN"/>
        </w:rPr>
        <w:t>）</w:t>
      </w:r>
      <w:r>
        <w:rPr>
          <w:rFonts w:hint="default" w:ascii="Times New Roman" w:hAnsi="Times New Roman" w:cs="Times New Roman"/>
          <w:sz w:val="24"/>
        </w:rPr>
        <w:t>进行质量控制，检测数据严格实行三级审核。</w:t>
      </w:r>
    </w:p>
    <w:p>
      <w:pPr>
        <w:pStyle w:val="5"/>
        <w:keepNext w:val="0"/>
        <w:keepLines w:val="0"/>
        <w:adjustRightInd w:val="0"/>
        <w:snapToGrid w:val="0"/>
        <w:spacing w:line="52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9、验收监测结果</w:t>
      </w:r>
      <w:bookmarkEnd w:id="34"/>
    </w:p>
    <w:p>
      <w:pPr>
        <w:pStyle w:val="5"/>
        <w:keepNext w:val="0"/>
        <w:keepLines w:val="0"/>
        <w:adjustRightInd w:val="0"/>
        <w:snapToGrid w:val="0"/>
        <w:spacing w:line="520" w:lineRule="exact"/>
        <w:rPr>
          <w:rFonts w:hint="default" w:ascii="Times New Roman" w:hAnsi="Times New Roman" w:cs="Times New Roman"/>
          <w:color w:val="000000"/>
          <w:sz w:val="24"/>
          <w:szCs w:val="24"/>
        </w:rPr>
      </w:pPr>
      <w:bookmarkStart w:id="35" w:name="_Toc15826"/>
      <w:r>
        <w:rPr>
          <w:rFonts w:hint="default" w:ascii="Times New Roman" w:hAnsi="Times New Roman" w:cs="Times New Roman"/>
          <w:color w:val="000000"/>
          <w:sz w:val="24"/>
          <w:szCs w:val="24"/>
        </w:rPr>
        <w:t>9.1生产工况</w:t>
      </w:r>
      <w:bookmarkEnd w:id="35"/>
    </w:p>
    <w:p>
      <w:pPr>
        <w:adjustRightInd w:val="0"/>
        <w:snapToGrid w:val="0"/>
        <w:spacing w:line="520" w:lineRule="exact"/>
        <w:ind w:firstLine="480" w:firstLineChars="200"/>
        <w:outlineLvl w:val="2"/>
        <w:rPr>
          <w:rFonts w:hint="default" w:ascii="Times New Roman" w:hAnsi="Times New Roman" w:cs="Times New Roman"/>
          <w:color w:val="000000"/>
          <w:sz w:val="24"/>
          <w:szCs w:val="24"/>
        </w:rPr>
      </w:pPr>
      <w:bookmarkStart w:id="36" w:name="_Toc23048"/>
      <w:r>
        <w:rPr>
          <w:rFonts w:hint="default" w:ascii="Times New Roman" w:hAnsi="Times New Roman" w:cs="Times New Roman"/>
          <w:color w:val="000000"/>
          <w:sz w:val="24"/>
          <w:szCs w:val="24"/>
        </w:rPr>
        <w:t>河南</w:t>
      </w:r>
      <w:r>
        <w:rPr>
          <w:rFonts w:hint="default" w:ascii="Times New Roman" w:hAnsi="Times New Roman" w:cs="Times New Roman"/>
          <w:color w:val="000000"/>
          <w:sz w:val="24"/>
          <w:szCs w:val="24"/>
          <w:lang w:eastAsia="zh-CN"/>
        </w:rPr>
        <w:t>永飞检测科技</w:t>
      </w:r>
      <w:r>
        <w:rPr>
          <w:rFonts w:hint="default" w:ascii="Times New Roman" w:hAnsi="Times New Roman" w:cs="Times New Roman"/>
          <w:color w:val="000000"/>
          <w:sz w:val="24"/>
          <w:szCs w:val="24"/>
        </w:rPr>
        <w:t>有限公司于202</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年</w:t>
      </w:r>
      <w:r>
        <w:rPr>
          <w:rFonts w:hint="default"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14</w:t>
      </w:r>
      <w:r>
        <w:rPr>
          <w:rFonts w:hint="default" w:ascii="Times New Roman" w:hAnsi="Times New Roman" w:cs="Times New Roman"/>
          <w:color w:val="000000"/>
          <w:sz w:val="24"/>
          <w:szCs w:val="24"/>
        </w:rPr>
        <w:t>日-</w:t>
      </w:r>
      <w:r>
        <w:rPr>
          <w:rFonts w:hint="default" w:ascii="Times New Roman" w:hAnsi="Times New Roman" w:cs="Times New Roman"/>
          <w:color w:val="000000"/>
          <w:sz w:val="24"/>
          <w:szCs w:val="24"/>
          <w:lang w:val="en-US" w:eastAsia="zh-CN"/>
        </w:rPr>
        <w:t>15</w:t>
      </w:r>
      <w:r>
        <w:rPr>
          <w:rFonts w:hint="default" w:ascii="Times New Roman" w:hAnsi="Times New Roman" w:cs="Times New Roman"/>
          <w:color w:val="000000"/>
          <w:sz w:val="24"/>
          <w:szCs w:val="24"/>
        </w:rPr>
        <w:t>日对项目生产过程中有组织废气、无组织废气、废水及噪声进行了监测。验收监测期间，本项目所需的环保设施按要求已安装到位并能正常运行，监测期间，项目正常生产，生产负荷达75%以上。</w:t>
      </w:r>
    </w:p>
    <w:p>
      <w:pPr>
        <w:adjustRightInd w:val="0"/>
        <w:snapToGrid w:val="0"/>
        <w:spacing w:line="520" w:lineRule="exact"/>
        <w:outlineLvl w:val="2"/>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9.2 环境保护设施调试效果</w:t>
      </w:r>
      <w:bookmarkEnd w:id="36"/>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9.2.1污染物达标排放监测结果</w:t>
      </w:r>
    </w:p>
    <w:p>
      <w:pPr>
        <w:adjustRightInd w:val="0"/>
        <w:snapToGrid w:val="0"/>
        <w:spacing w:line="520" w:lineRule="exact"/>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9.2.1.1废气</w:t>
      </w:r>
    </w:p>
    <w:p>
      <w:pPr>
        <w:spacing w:line="520" w:lineRule="exact"/>
        <w:ind w:firstLine="480" w:firstLineChars="200"/>
        <w:rPr>
          <w:rFonts w:hint="default" w:ascii="Times New Roman" w:hAnsi="Times New Roman" w:cs="Times New Roman"/>
          <w:bCs/>
          <w:color w:val="000000"/>
          <w:sz w:val="24"/>
          <w:szCs w:val="24"/>
        </w:rPr>
      </w:pPr>
      <w:r>
        <w:rPr>
          <w:rFonts w:hint="default" w:ascii="Times New Roman" w:hAnsi="Times New Roman" w:cs="Times New Roman"/>
          <w:bCs/>
          <w:iCs/>
          <w:color w:val="000000"/>
          <w:sz w:val="24"/>
          <w:szCs w:val="24"/>
        </w:rPr>
        <w:t>（1）有组织废气监测结果</w:t>
      </w:r>
    </w:p>
    <w:p>
      <w:pPr>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1"/>
        </w:rPr>
        <w:t>根据现场勘查，</w:t>
      </w:r>
      <w:r>
        <w:rPr>
          <w:rFonts w:hint="default" w:ascii="Times New Roman" w:hAnsi="Times New Roman" w:cs="Times New Roman"/>
          <w:sz w:val="24"/>
          <w:szCs w:val="21"/>
          <w:lang w:eastAsia="zh-CN"/>
        </w:rPr>
        <w:t>酸雾喷淋塔</w:t>
      </w:r>
      <w:r>
        <w:rPr>
          <w:rFonts w:hint="default" w:ascii="Times New Roman" w:hAnsi="Times New Roman" w:cs="Times New Roman"/>
          <w:color w:val="000000"/>
          <w:sz w:val="24"/>
          <w:szCs w:val="24"/>
        </w:rPr>
        <w:t>废气治理设施</w:t>
      </w:r>
      <w:r>
        <w:rPr>
          <w:rFonts w:hint="default" w:ascii="Times New Roman" w:hAnsi="Times New Roman" w:cs="Times New Roman"/>
          <w:sz w:val="24"/>
          <w:szCs w:val="21"/>
        </w:rPr>
        <w:t>进、出口均符合采样条件，</w:t>
      </w:r>
      <w:r>
        <w:rPr>
          <w:rFonts w:hint="default" w:ascii="Times New Roman" w:hAnsi="Times New Roman" w:cs="Times New Roman"/>
          <w:bCs/>
          <w:color w:val="000000"/>
          <w:sz w:val="24"/>
          <w:szCs w:val="24"/>
        </w:rPr>
        <w:t>检测</w:t>
      </w:r>
      <w:r>
        <w:rPr>
          <w:rFonts w:hint="default" w:ascii="Times New Roman" w:hAnsi="Times New Roman" w:cs="Times New Roman"/>
          <w:color w:val="000000"/>
          <w:sz w:val="24"/>
          <w:szCs w:val="24"/>
        </w:rPr>
        <w:t>时各设备设施均正常运行，</w:t>
      </w:r>
      <w:r>
        <w:rPr>
          <w:rFonts w:hint="default" w:ascii="Times New Roman" w:hAnsi="Times New Roman" w:cs="Times New Roman"/>
          <w:bCs/>
          <w:color w:val="000000"/>
          <w:sz w:val="24"/>
          <w:szCs w:val="24"/>
        </w:rPr>
        <w:t>检测</w:t>
      </w:r>
      <w:r>
        <w:rPr>
          <w:rFonts w:hint="default" w:ascii="Times New Roman" w:hAnsi="Times New Roman" w:cs="Times New Roman"/>
          <w:color w:val="000000"/>
          <w:sz w:val="24"/>
          <w:szCs w:val="24"/>
        </w:rPr>
        <w:t>结果见表9.2-1、9.2-2及9.2-3。</w:t>
      </w:r>
    </w:p>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表9.2-1        氨废气有组织废气监测结果一览表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160"/>
        <w:gridCol w:w="1358"/>
        <w:gridCol w:w="1103"/>
        <w:gridCol w:w="1362"/>
        <w:gridCol w:w="1715"/>
        <w:gridCol w:w="182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3" w:hRule="atLeast"/>
          <w:jc w:val="center"/>
        </w:trPr>
        <w:tc>
          <w:tcPr>
            <w:tcW w:w="681"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采样日期</w:t>
            </w:r>
          </w:p>
        </w:tc>
        <w:tc>
          <w:tcPr>
            <w:tcW w:w="7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检测点位</w:t>
            </w:r>
          </w:p>
        </w:tc>
        <w:tc>
          <w:tcPr>
            <w:tcW w:w="64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检测频次</w:t>
            </w:r>
          </w:p>
        </w:tc>
        <w:tc>
          <w:tcPr>
            <w:tcW w:w="799"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废气排放量</w:t>
            </w:r>
          </w:p>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(标干m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/h)</w:t>
            </w:r>
          </w:p>
        </w:tc>
        <w:tc>
          <w:tcPr>
            <w:tcW w:w="2076" w:type="pct"/>
            <w:gridSpan w:val="2"/>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3" w:hRule="atLeas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Merge w:val="continue"/>
            <w:vAlign w:val="center"/>
          </w:tcPr>
          <w:p>
            <w:pPr>
              <w:snapToGrid w:val="0"/>
              <w:jc w:val="center"/>
              <w:rPr>
                <w:rFonts w:hint="default" w:ascii="Times New Roman" w:hAnsi="Times New Roman" w:cs="Times New Roman"/>
                <w:color w:val="000000"/>
                <w:szCs w:val="21"/>
              </w:rPr>
            </w:pPr>
          </w:p>
        </w:tc>
        <w:tc>
          <w:tcPr>
            <w:tcW w:w="799" w:type="pct"/>
            <w:vMerge w:val="continue"/>
            <w:vAlign w:val="center"/>
          </w:tcPr>
          <w:p>
            <w:pPr>
              <w:snapToGrid w:val="0"/>
              <w:jc w:val="center"/>
              <w:rPr>
                <w:rFonts w:hint="default" w:ascii="Times New Roman" w:hAnsi="Times New Roman" w:cs="Times New Roman"/>
                <w:color w:val="000000"/>
                <w:szCs w:val="21"/>
              </w:rPr>
            </w:pPr>
          </w:p>
        </w:tc>
        <w:tc>
          <w:tcPr>
            <w:tcW w:w="1006" w:type="pct"/>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排放浓度(mg/m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w:t>
            </w:r>
          </w:p>
        </w:tc>
        <w:tc>
          <w:tcPr>
            <w:tcW w:w="1070" w:type="pct"/>
            <w:tcBorders>
              <w:left w:val="single" w:color="auto" w:sz="4" w:space="0"/>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排放速率(kg/h)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681" w:type="pct"/>
            <w:vMerge w:val="restart"/>
            <w:vAlign w:val="center"/>
          </w:tcPr>
          <w:p>
            <w:pPr>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highlight w:val="none"/>
              </w:rPr>
              <w:t>202</w:t>
            </w:r>
            <w:r>
              <w:rPr>
                <w:rFonts w:hint="default"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8</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14</w:t>
            </w:r>
          </w:p>
        </w:tc>
        <w:tc>
          <w:tcPr>
            <w:tcW w:w="797" w:type="pct"/>
            <w:vMerge w:val="restart"/>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szCs w:val="21"/>
              </w:rPr>
              <w:t>酸雾喷淋塔设施</w:t>
            </w:r>
            <w:r>
              <w:rPr>
                <w:rFonts w:hint="default" w:ascii="Times New Roman" w:hAnsi="Times New Roman" w:eastAsia="宋体" w:cs="Times New Roman"/>
                <w:color w:val="auto"/>
                <w:sz w:val="21"/>
                <w:szCs w:val="21"/>
                <w:lang w:val="en-US" w:eastAsia="zh-CN"/>
              </w:rPr>
              <w:t>进口</w:t>
            </w: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3.52</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8.24</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0.0290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3.61</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8.46</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2"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3.55</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8.31</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0.0295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average(C3:C5)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3.56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8.34</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average(E3:E5)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0.0297</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restart"/>
            <w:vAlign w:val="center"/>
          </w:tcPr>
          <w:p>
            <w:pPr>
              <w:jc w:val="center"/>
              <w:rPr>
                <w:rFonts w:hint="default" w:ascii="Times New Roman" w:hAnsi="Times New Roman" w:cs="Times New Roman"/>
                <w:szCs w:val="21"/>
              </w:rPr>
            </w:pPr>
            <w:r>
              <w:rPr>
                <w:rFonts w:hint="default" w:ascii="Times New Roman" w:hAnsi="Times New Roman" w:cs="Times New Roman"/>
                <w:color w:val="000000"/>
                <w:szCs w:val="21"/>
              </w:rPr>
              <w:t>酸雾喷淋塔设施</w:t>
            </w:r>
            <w:r>
              <w:rPr>
                <w:rFonts w:hint="default" w:ascii="Times New Roman" w:hAnsi="Times New Roman" w:eastAsia="宋体" w:cs="Times New Roman"/>
                <w:color w:val="auto"/>
                <w:sz w:val="21"/>
                <w:szCs w:val="21"/>
                <w:lang w:val="en-US" w:eastAsia="zh-CN"/>
              </w:rPr>
              <w:t>出口</w:t>
            </w: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3.83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1.17</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4.48</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3.70×10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1.24</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4.59</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3.74×10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1.35</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5.05</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362"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average(C7:C9)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3.76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1.25</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average(E7:E9)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4.71</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5000" w:type="pct"/>
            <w:gridSpan w:val="6"/>
            <w:tcBorders>
              <w:right w:val="single" w:color="auto" w:sz="4" w:space="0"/>
            </w:tcBorders>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szCs w:val="21"/>
                <w:highlight w:val="none"/>
              </w:rPr>
              <w:t>备注：氨的去除效率为</w:t>
            </w:r>
            <w:r>
              <w:rPr>
                <w:rFonts w:hint="default" w:ascii="Times New Roman" w:hAnsi="Times New Roman" w:cs="Times New Roman"/>
                <w:szCs w:val="21"/>
                <w:highlight w:val="none"/>
                <w:lang w:val="en-US" w:eastAsia="zh-CN"/>
              </w:rPr>
              <w:t>84.1</w:t>
            </w:r>
            <w:r>
              <w:rPr>
                <w:rFonts w:hint="default"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1161" w:type="dxa"/>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202</w:t>
            </w:r>
            <w:r>
              <w:rPr>
                <w:rFonts w:hint="default"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8</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15</w:t>
            </w:r>
          </w:p>
        </w:tc>
        <w:tc>
          <w:tcPr>
            <w:tcW w:w="1357" w:type="dxa"/>
            <w:vMerge w:val="restart"/>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szCs w:val="21"/>
              </w:rPr>
              <w:t>酸雾喷淋塔设施</w:t>
            </w:r>
            <w:r>
              <w:rPr>
                <w:rFonts w:hint="default" w:ascii="Times New Roman" w:hAnsi="Times New Roman" w:eastAsia="宋体" w:cs="Times New Roman"/>
                <w:color w:val="auto"/>
                <w:sz w:val="21"/>
                <w:szCs w:val="21"/>
                <w:lang w:val="en-US" w:eastAsia="zh-CN"/>
              </w:rPr>
              <w:t>进口</w:t>
            </w: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3.95×10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8.42</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3.88×10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8.50</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0.0297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2"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3.95×10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8.28</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0.0293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3.96×10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8.41</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average(E11:E13)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0.0297</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1161" w:type="dxa"/>
            <w:vMerge w:val="continue"/>
            <w:vAlign w:val="center"/>
          </w:tcPr>
          <w:p>
            <w:pPr>
              <w:snapToGrid w:val="0"/>
              <w:jc w:val="center"/>
              <w:rPr>
                <w:rFonts w:hint="default" w:ascii="Times New Roman" w:hAnsi="Times New Roman" w:cs="Times New Roman"/>
                <w:color w:val="000000"/>
                <w:szCs w:val="21"/>
              </w:rPr>
            </w:pPr>
          </w:p>
        </w:tc>
        <w:tc>
          <w:tcPr>
            <w:tcW w:w="135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color w:val="000000"/>
                <w:szCs w:val="21"/>
              </w:rPr>
              <w:t>酸雾喷淋塔设施</w:t>
            </w:r>
            <w:r>
              <w:rPr>
                <w:rFonts w:hint="default" w:ascii="Times New Roman" w:hAnsi="Times New Roman" w:eastAsia="宋体" w:cs="Times New Roman"/>
                <w:color w:val="auto"/>
                <w:sz w:val="21"/>
                <w:szCs w:val="21"/>
                <w:lang w:val="en-US" w:eastAsia="zh-CN"/>
              </w:rPr>
              <w:t>出口</w:t>
            </w: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4.44×10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1.28</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4.84</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4.38×10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1.32</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5.03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4.31×10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1.19</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4.43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681" w:type="pct"/>
            <w:vMerge w:val="continue"/>
            <w:vAlign w:val="center"/>
          </w:tcPr>
          <w:p>
            <w:pPr>
              <w:snapToGrid w:val="0"/>
              <w:jc w:val="center"/>
              <w:rPr>
                <w:rFonts w:hint="default" w:ascii="Times New Roman" w:hAnsi="Times New Roman" w:cs="Times New Roman"/>
                <w:color w:val="000000"/>
                <w:szCs w:val="21"/>
              </w:rPr>
            </w:pPr>
          </w:p>
        </w:tc>
        <w:tc>
          <w:tcPr>
            <w:tcW w:w="797" w:type="pct"/>
            <w:vMerge w:val="continue"/>
            <w:vAlign w:val="center"/>
          </w:tcPr>
          <w:p>
            <w:pPr>
              <w:snapToGrid w:val="0"/>
              <w:jc w:val="center"/>
              <w:rPr>
                <w:rFonts w:hint="default" w:ascii="Times New Roman" w:hAnsi="Times New Roman" w:cs="Times New Roman"/>
                <w:color w:val="000000"/>
                <w:szCs w:val="21"/>
              </w:rPr>
            </w:pPr>
          </w:p>
        </w:tc>
        <w:tc>
          <w:tcPr>
            <w:tcW w:w="647"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799" w:type="pct"/>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4.38×10</w:t>
            </w:r>
            <w:r>
              <w:rPr>
                <w:rFonts w:hint="default" w:ascii="Times New Roman" w:hAnsi="Times New Roman" w:cs="Times New Roman"/>
                <w:kern w:val="0"/>
                <w:szCs w:val="21"/>
                <w:vertAlign w:val="superscript"/>
              </w:rPr>
              <w:t>3</w:t>
            </w:r>
          </w:p>
        </w:tc>
        <w:tc>
          <w:tcPr>
            <w:tcW w:w="1715"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1.27</w:t>
            </w:r>
          </w:p>
        </w:tc>
        <w:tc>
          <w:tcPr>
            <w:tcW w:w="1824"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average(E15:E17)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4.77</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5000" w:type="pct"/>
            <w:gridSpan w:val="6"/>
            <w:tcBorders>
              <w:right w:val="single" w:color="auto" w:sz="4" w:space="0"/>
            </w:tcBorders>
            <w:vAlign w:val="center"/>
          </w:tcPr>
          <w:p>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备注：氨</w:t>
            </w:r>
            <w:r>
              <w:rPr>
                <w:rFonts w:hint="default" w:ascii="Times New Roman" w:hAnsi="Times New Roman" w:cs="Times New Roman"/>
                <w:szCs w:val="21"/>
              </w:rPr>
              <w:t>的去除效率为</w:t>
            </w:r>
            <w:r>
              <w:rPr>
                <w:rFonts w:hint="default" w:ascii="Times New Roman" w:hAnsi="Times New Roman" w:cs="Times New Roman"/>
                <w:szCs w:val="21"/>
                <w:lang w:val="en-US" w:eastAsia="zh-CN"/>
              </w:rPr>
              <w:t>83.9</w:t>
            </w:r>
            <w:r>
              <w:rPr>
                <w:rFonts w:hint="default" w:ascii="Times New Roman" w:hAnsi="Times New Roman" w:cs="Times New Roman"/>
                <w:szCs w:val="21"/>
              </w:rPr>
              <w:t>%。</w:t>
            </w:r>
          </w:p>
        </w:tc>
      </w:tr>
    </w:tbl>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表9.2-2        酸雾废气有组织废气监测结果一览表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14"/>
        <w:gridCol w:w="848"/>
        <w:gridCol w:w="849"/>
        <w:gridCol w:w="1277"/>
        <w:gridCol w:w="1139"/>
        <w:gridCol w:w="1132"/>
        <w:gridCol w:w="1277"/>
        <w:gridCol w:w="118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3" w:hRule="atLeast"/>
          <w:jc w:val="center"/>
        </w:trPr>
        <w:tc>
          <w:tcPr>
            <w:tcW w:w="47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采样日期</w:t>
            </w:r>
          </w:p>
        </w:tc>
        <w:tc>
          <w:tcPr>
            <w:tcW w:w="4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检测点位</w:t>
            </w:r>
          </w:p>
        </w:tc>
        <w:tc>
          <w:tcPr>
            <w:tcW w:w="498"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检测频次</w:t>
            </w:r>
          </w:p>
        </w:tc>
        <w:tc>
          <w:tcPr>
            <w:tcW w:w="749"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废气排放量</w:t>
            </w:r>
          </w:p>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(标干m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/h)</w:t>
            </w:r>
          </w:p>
        </w:tc>
        <w:tc>
          <w:tcPr>
            <w:tcW w:w="1332" w:type="pct"/>
            <w:gridSpan w:val="2"/>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硫酸雾</w:t>
            </w:r>
          </w:p>
        </w:tc>
        <w:tc>
          <w:tcPr>
            <w:tcW w:w="1445" w:type="pct"/>
            <w:gridSpan w:val="2"/>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氮氧化物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3" w:hRule="atLeas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Merge w:val="continue"/>
            <w:vAlign w:val="center"/>
          </w:tcPr>
          <w:p>
            <w:pPr>
              <w:snapToGrid w:val="0"/>
              <w:jc w:val="center"/>
              <w:rPr>
                <w:rFonts w:hint="default" w:ascii="Times New Roman" w:hAnsi="Times New Roman" w:cs="Times New Roman"/>
                <w:color w:val="000000"/>
                <w:szCs w:val="21"/>
              </w:rPr>
            </w:pPr>
          </w:p>
        </w:tc>
        <w:tc>
          <w:tcPr>
            <w:tcW w:w="749" w:type="pct"/>
            <w:vMerge w:val="continue"/>
            <w:vAlign w:val="center"/>
          </w:tcPr>
          <w:p>
            <w:pPr>
              <w:snapToGrid w:val="0"/>
              <w:jc w:val="center"/>
              <w:rPr>
                <w:rFonts w:hint="default" w:ascii="Times New Roman" w:hAnsi="Times New Roman" w:cs="Times New Roman"/>
                <w:color w:val="000000"/>
                <w:szCs w:val="21"/>
              </w:rPr>
            </w:pPr>
          </w:p>
        </w:tc>
        <w:tc>
          <w:tcPr>
            <w:tcW w:w="668" w:type="pct"/>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排放浓度(mg/m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w:t>
            </w:r>
          </w:p>
        </w:tc>
        <w:tc>
          <w:tcPr>
            <w:tcW w:w="664" w:type="pct"/>
            <w:tcBorders>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排放速率(kg/h)</w:t>
            </w:r>
          </w:p>
        </w:tc>
        <w:tc>
          <w:tcPr>
            <w:tcW w:w="749" w:type="pct"/>
            <w:tcBorders>
              <w:left w:val="single" w:color="auto" w:sz="4" w:space="0"/>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排放浓度(mg/m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w:t>
            </w:r>
          </w:p>
        </w:tc>
        <w:tc>
          <w:tcPr>
            <w:tcW w:w="695" w:type="pct"/>
            <w:tcBorders>
              <w:left w:val="single" w:color="auto" w:sz="4" w:space="0"/>
              <w:right w:val="single" w:color="auto" w:sz="4"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排放速率(kg/h)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477" w:type="pct"/>
            <w:vMerge w:val="restart"/>
            <w:vAlign w:val="center"/>
          </w:tcPr>
          <w:p>
            <w:pPr>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202</w:t>
            </w: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14</w:t>
            </w:r>
          </w:p>
        </w:tc>
        <w:tc>
          <w:tcPr>
            <w:tcW w:w="4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酸雾喷淋塔设施进口</w:t>
            </w: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3.52</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668"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8.72</w:t>
            </w:r>
          </w:p>
        </w:tc>
        <w:tc>
          <w:tcPr>
            <w:tcW w:w="664"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0.0307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52</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0.18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3.61</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668"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8.58</w:t>
            </w:r>
          </w:p>
        </w:tc>
        <w:tc>
          <w:tcPr>
            <w:tcW w:w="664"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0.0310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56</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2"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3.55</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668"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8.64</w:t>
            </w:r>
          </w:p>
        </w:tc>
        <w:tc>
          <w:tcPr>
            <w:tcW w:w="664"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0.0307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55</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average(C3:C5)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3.56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668"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8.65</w:t>
            </w:r>
          </w:p>
        </w:tc>
        <w:tc>
          <w:tcPr>
            <w:tcW w:w="664" w:type="pct"/>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average(G3:G5)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0.0308</w:t>
            </w:r>
            <w:r>
              <w:rPr>
                <w:rFonts w:hint="default" w:ascii="Times New Roman" w:hAnsi="Times New Roman" w:eastAsia="宋体" w:cs="Times New Roman"/>
                <w:color w:val="auto"/>
                <w:sz w:val="21"/>
                <w:szCs w:val="21"/>
                <w:highlight w:val="none"/>
                <w:vertAlign w:val="baseline"/>
                <w:lang w:val="en-US" w:eastAsia="zh-CN"/>
              </w:rPr>
              <w:fldChar w:fldCharType="end"/>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53</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average(I3:I5)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0.19</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酸雾喷淋塔设施出口</w:t>
            </w: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3.83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1.91</w:t>
            </w:r>
          </w:p>
        </w:tc>
        <w:tc>
          <w:tcPr>
            <w:tcW w:w="1132"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7.32</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18</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0.069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3.70×10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1.73</w:t>
            </w:r>
          </w:p>
        </w:tc>
        <w:tc>
          <w:tcPr>
            <w:tcW w:w="1132"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6.40</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21</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0.078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3.74×10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1.86</w:t>
            </w:r>
          </w:p>
        </w:tc>
        <w:tc>
          <w:tcPr>
            <w:tcW w:w="1132"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6.96</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20</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0.075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average(C7:C9)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3.76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1.83</w:t>
            </w:r>
          </w:p>
        </w:tc>
        <w:tc>
          <w:tcPr>
            <w:tcW w:w="1132"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average(G7:G9)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6.89</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20</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average(I7:I9)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0.074</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5000" w:type="pct"/>
            <w:gridSpan w:val="8"/>
            <w:tcBorders>
              <w:right w:val="single" w:color="auto" w:sz="4" w:space="0"/>
            </w:tcBorders>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szCs w:val="21"/>
              </w:rPr>
              <w:t>备注：硫酸雾的去除效率为</w:t>
            </w:r>
            <w:r>
              <w:rPr>
                <w:rFonts w:hint="default" w:ascii="Times New Roman" w:hAnsi="Times New Roman" w:cs="Times New Roman"/>
                <w:szCs w:val="21"/>
                <w:lang w:val="en-US" w:eastAsia="zh-CN"/>
              </w:rPr>
              <w:t>77.6</w:t>
            </w:r>
            <w:r>
              <w:rPr>
                <w:rFonts w:hint="default" w:ascii="Times New Roman" w:hAnsi="Times New Roman" w:cs="Times New Roman"/>
                <w:szCs w:val="21"/>
              </w:rPr>
              <w:t>%，氮氧化物计</w:t>
            </w:r>
            <w:r>
              <w:rPr>
                <w:rFonts w:hint="default" w:ascii="Times New Roman" w:hAnsi="Times New Roman" w:cs="Times New Roman"/>
                <w:szCs w:val="21"/>
                <w:highlight w:val="none"/>
              </w:rPr>
              <w:t>去除率为</w:t>
            </w:r>
            <w:r>
              <w:rPr>
                <w:rFonts w:hint="eastAsia" w:ascii="Times New Roman" w:hAnsi="Times New Roman" w:cs="Times New Roman"/>
                <w:szCs w:val="21"/>
                <w:highlight w:val="none"/>
                <w:lang w:val="en-US" w:eastAsia="zh-CN"/>
              </w:rPr>
              <w:t>61.1</w:t>
            </w:r>
            <w:r>
              <w:rPr>
                <w:rFonts w:hint="default" w:ascii="Times New Roman" w:hAnsi="Times New Roman"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477" w:type="pct"/>
            <w:vMerge w:val="restart"/>
            <w:vAlign w:val="center"/>
          </w:tcPr>
          <w:p>
            <w:pPr>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202</w:t>
            </w: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14</w:t>
            </w:r>
          </w:p>
        </w:tc>
        <w:tc>
          <w:tcPr>
            <w:tcW w:w="4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酸雾喷淋塔设施进口</w:t>
            </w: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3.52</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8.43</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0.0301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51</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0.18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3.61</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8.87</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0.0310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54</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0.19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2"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3.55</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8.65</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 xml:space="preserve">0.0306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56</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average(C3:C5)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3.56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8.67</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average(G11:G13)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0.0306</w:t>
            </w:r>
            <w:r>
              <w:rPr>
                <w:rFonts w:hint="default" w:ascii="Times New Roman" w:hAnsi="Times New Roman" w:eastAsia="宋体" w:cs="Times New Roman"/>
                <w:color w:val="auto"/>
                <w:sz w:val="21"/>
                <w:szCs w:val="21"/>
                <w:highlight w:val="none"/>
                <w:vertAlign w:val="baseline"/>
                <w:lang w:val="en-US" w:eastAsia="zh-CN"/>
              </w:rPr>
              <w:fldChar w:fldCharType="end"/>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54</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average(I11:I13)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0.19</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酸雾喷淋塔设施出口</w:t>
            </w: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t>3.83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1.83</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6.92</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22</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0.083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3.70×10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1.69</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6.44</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18</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0.069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vertAlign w:val="baseline"/>
                <w:lang w:val="en-US" w:eastAsia="zh-CN"/>
              </w:rPr>
              <w:t>3.74×10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1.97</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7.33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 xml:space="preserve"> </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19</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 xml:space="preserve">0.071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477" w:type="pct"/>
            <w:vMerge w:val="continue"/>
            <w:vAlign w:val="center"/>
          </w:tcPr>
          <w:p>
            <w:pPr>
              <w:snapToGrid w:val="0"/>
              <w:jc w:val="center"/>
              <w:rPr>
                <w:rFonts w:hint="default" w:ascii="Times New Roman" w:hAnsi="Times New Roman" w:cs="Times New Roman"/>
                <w:color w:val="000000"/>
                <w:szCs w:val="21"/>
              </w:rPr>
            </w:pPr>
          </w:p>
        </w:tc>
        <w:tc>
          <w:tcPr>
            <w:tcW w:w="497" w:type="pct"/>
            <w:vMerge w:val="continue"/>
            <w:vAlign w:val="center"/>
          </w:tcPr>
          <w:p>
            <w:pPr>
              <w:snapToGrid w:val="0"/>
              <w:jc w:val="center"/>
              <w:rPr>
                <w:rFonts w:hint="default" w:ascii="Times New Roman" w:hAnsi="Times New Roman" w:cs="Times New Roman"/>
                <w:color w:val="000000"/>
                <w:szCs w:val="21"/>
              </w:rPr>
            </w:pPr>
          </w:p>
        </w:tc>
        <w:tc>
          <w:tcPr>
            <w:tcW w:w="498" w:type="pct"/>
            <w:vAlign w:val="center"/>
          </w:tcPr>
          <w:p>
            <w:pPr>
              <w:snapToGrid w:val="0"/>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平均值</w:t>
            </w:r>
          </w:p>
        </w:tc>
        <w:tc>
          <w:tcPr>
            <w:tcW w:w="127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kern w:val="0"/>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average(C7:C9)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3.76</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139" w:type="dxa"/>
            <w:tcBorders>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t>1.83</w:t>
            </w:r>
          </w:p>
        </w:tc>
        <w:tc>
          <w:tcPr>
            <w:tcW w:w="1132"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average(G15:G17)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6.9</w:t>
            </w:r>
            <w:r>
              <w:rPr>
                <w:rFonts w:hint="default" w:ascii="Times New Roman" w:hAnsi="Times New Roman" w:eastAsia="宋体" w:cs="Times New Roman"/>
                <w:color w:val="auto"/>
                <w:sz w:val="21"/>
                <w:szCs w:val="21"/>
                <w:highlight w:val="none"/>
                <w:vertAlign w:val="baseline"/>
                <w:lang w:val="en-US" w:eastAsia="zh-CN"/>
              </w:rPr>
              <w:fldChar w:fldCharType="end"/>
            </w:r>
            <w:r>
              <w:rPr>
                <w:rFonts w:hint="default"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1277"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t>20</w:t>
            </w:r>
          </w:p>
        </w:tc>
        <w:tc>
          <w:tcPr>
            <w:tcW w:w="1186" w:type="dxa"/>
            <w:tcBorders>
              <w:left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Cs w:val="21"/>
                <w:highlight w:val="none"/>
              </w:rPr>
            </w:pPr>
            <w:r>
              <w:rPr>
                <w:rFonts w:hint="default" w:ascii="Times New Roman" w:hAnsi="Times New Roman" w:eastAsia="宋体" w:cs="Times New Roman"/>
                <w:color w:val="auto"/>
                <w:sz w:val="21"/>
                <w:szCs w:val="21"/>
                <w:highlight w:val="none"/>
                <w:vertAlign w:val="baseline"/>
                <w:lang w:val="en-US" w:eastAsia="zh-CN"/>
              </w:rPr>
              <w:fldChar w:fldCharType="begin"/>
            </w:r>
            <w:r>
              <w:rPr>
                <w:rFonts w:hint="default" w:ascii="Times New Roman" w:hAnsi="Times New Roman" w:eastAsia="宋体" w:cs="Times New Roman"/>
                <w:color w:val="auto"/>
                <w:sz w:val="21"/>
                <w:szCs w:val="21"/>
                <w:highlight w:val="none"/>
                <w:vertAlign w:val="baseline"/>
                <w:lang w:val="en-US" w:eastAsia="zh-CN"/>
              </w:rPr>
              <w:instrText xml:space="preserve"> = average(I15:I17) \* MERGEFORMAT </w:instrText>
            </w:r>
            <w:r>
              <w:rPr>
                <w:rFonts w:hint="default" w:ascii="Times New Roman" w:hAnsi="Times New Roman" w:eastAsia="宋体" w:cs="Times New Roman"/>
                <w:color w:val="auto"/>
                <w:sz w:val="21"/>
                <w:szCs w:val="21"/>
                <w:highlight w:val="none"/>
                <w:vertAlign w:val="baseline"/>
                <w:lang w:val="en-US" w:eastAsia="zh-CN"/>
              </w:rPr>
              <w:fldChar w:fldCharType="separate"/>
            </w:r>
            <w:r>
              <w:rPr>
                <w:rFonts w:hint="default" w:ascii="Times New Roman" w:hAnsi="Times New Roman" w:eastAsia="宋体" w:cs="Times New Roman"/>
                <w:color w:val="auto"/>
                <w:sz w:val="21"/>
                <w:szCs w:val="21"/>
                <w:highlight w:val="none"/>
                <w:vertAlign w:val="baseline"/>
                <w:lang w:val="en-US" w:eastAsia="zh-CN"/>
              </w:rPr>
              <w:t>0.074</w:t>
            </w:r>
            <w:r>
              <w:rPr>
                <w:rFonts w:hint="default" w:ascii="Times New Roman" w:hAnsi="Times New Roman" w:eastAsia="宋体" w:cs="Times New Roman"/>
                <w:color w:val="auto"/>
                <w:sz w:val="21"/>
                <w:szCs w:val="21"/>
                <w:highlight w:val="none"/>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5000" w:type="pct"/>
            <w:gridSpan w:val="8"/>
            <w:tcBorders>
              <w:right w:val="single" w:color="auto" w:sz="4" w:space="0"/>
            </w:tcBorders>
            <w:vAlign w:val="center"/>
          </w:tcPr>
          <w:p>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备注：硫酸雾</w:t>
            </w:r>
            <w:r>
              <w:rPr>
                <w:rFonts w:hint="default" w:ascii="Times New Roman" w:hAnsi="Times New Roman" w:cs="Times New Roman"/>
                <w:szCs w:val="21"/>
              </w:rPr>
              <w:t>的去除效率为</w:t>
            </w:r>
            <w:r>
              <w:rPr>
                <w:rFonts w:hint="default" w:ascii="Times New Roman" w:hAnsi="Times New Roman" w:cs="Times New Roman"/>
                <w:szCs w:val="21"/>
                <w:lang w:val="en-US" w:eastAsia="zh-CN"/>
              </w:rPr>
              <w:t>77.5</w:t>
            </w:r>
            <w:r>
              <w:rPr>
                <w:rFonts w:hint="default" w:ascii="Times New Roman" w:hAnsi="Times New Roman" w:cs="Times New Roman"/>
                <w:szCs w:val="21"/>
              </w:rPr>
              <w:t>%，氮氧化物去除率为</w:t>
            </w:r>
            <w:r>
              <w:rPr>
                <w:rFonts w:hint="eastAsia" w:ascii="Times New Roman" w:hAnsi="Times New Roman" w:cs="Times New Roman"/>
                <w:szCs w:val="21"/>
                <w:lang w:val="en-US" w:eastAsia="zh-CN"/>
              </w:rPr>
              <w:t>61.1</w:t>
            </w:r>
            <w:r>
              <w:rPr>
                <w:rFonts w:hint="default" w:ascii="Times New Roman" w:hAnsi="Times New Roman" w:cs="Times New Roman"/>
                <w:szCs w:val="21"/>
              </w:rPr>
              <w:t>%。</w:t>
            </w:r>
          </w:p>
        </w:tc>
      </w:tr>
    </w:tbl>
    <w:p>
      <w:pPr>
        <w:spacing w:line="520" w:lineRule="exact"/>
        <w:ind w:firstLine="480" w:firstLineChars="200"/>
        <w:rPr>
          <w:rFonts w:hint="default" w:ascii="Times New Roman" w:hAnsi="Times New Roman" w:cs="Times New Roman"/>
          <w:bCs/>
          <w:sz w:val="24"/>
          <w:szCs w:val="24"/>
        </w:rPr>
      </w:pPr>
      <w:r>
        <w:rPr>
          <w:rFonts w:hint="default" w:ascii="Times New Roman" w:hAnsi="Times New Roman" w:cs="Times New Roman"/>
          <w:color w:val="000000"/>
          <w:sz w:val="24"/>
        </w:rPr>
        <w:t>由监测结果可知，</w:t>
      </w:r>
      <w:r>
        <w:rPr>
          <w:rFonts w:hint="default" w:ascii="Times New Roman" w:hAnsi="Times New Roman" w:cs="Times New Roman"/>
          <w:bCs/>
          <w:sz w:val="24"/>
          <w:szCs w:val="24"/>
        </w:rPr>
        <w:t>项目</w:t>
      </w:r>
      <w:r>
        <w:rPr>
          <w:rFonts w:hint="default" w:ascii="Times New Roman" w:hAnsi="Times New Roman" w:cs="Times New Roman"/>
          <w:sz w:val="24"/>
          <w:szCs w:val="21"/>
        </w:rPr>
        <w:t>产生的氨经</w:t>
      </w:r>
      <w:r>
        <w:rPr>
          <w:rFonts w:hint="default" w:ascii="Times New Roman" w:hAnsi="Times New Roman" w:cs="Times New Roman"/>
          <w:sz w:val="24"/>
          <w:szCs w:val="21"/>
          <w:lang w:eastAsia="zh-CN"/>
        </w:rPr>
        <w:t>酸雾</w:t>
      </w:r>
      <w:r>
        <w:rPr>
          <w:rFonts w:hint="default" w:ascii="Times New Roman" w:hAnsi="Times New Roman" w:cs="Times New Roman"/>
          <w:sz w:val="24"/>
          <w:szCs w:val="21"/>
        </w:rPr>
        <w:t>喷淋塔吸收后</w:t>
      </w:r>
      <w:r>
        <w:rPr>
          <w:rFonts w:hint="default" w:ascii="Times New Roman" w:hAnsi="Times New Roman" w:cs="Times New Roman"/>
          <w:color w:val="000000"/>
          <w:sz w:val="24"/>
        </w:rPr>
        <w:t>，氨有组织</w:t>
      </w:r>
      <w:r>
        <w:rPr>
          <w:rFonts w:hint="default" w:ascii="Times New Roman" w:hAnsi="Times New Roman" w:cs="Times New Roman"/>
          <w:bCs/>
          <w:sz w:val="24"/>
          <w:szCs w:val="24"/>
        </w:rPr>
        <w:t>排放速率满足</w:t>
      </w:r>
      <w:r>
        <w:rPr>
          <w:rFonts w:hint="default" w:ascii="Times New Roman" w:hAnsi="Times New Roman" w:cs="Times New Roman"/>
          <w:sz w:val="24"/>
          <w:szCs w:val="24"/>
        </w:rPr>
        <w:t>《</w:t>
      </w:r>
      <w:r>
        <w:rPr>
          <w:rFonts w:hint="default" w:ascii="Times New Roman" w:hAnsi="Times New Roman" w:cs="Times New Roman" w:eastAsiaTheme="minorEastAsia"/>
          <w:sz w:val="24"/>
          <w:szCs w:val="24"/>
        </w:rPr>
        <w:t>恶臭污染物排放标准</w:t>
      </w:r>
      <w:r>
        <w:rPr>
          <w:rFonts w:hint="default" w:ascii="Times New Roman" w:hAnsi="Times New Roman" w:cs="Times New Roman"/>
          <w:sz w:val="24"/>
          <w:szCs w:val="24"/>
        </w:rPr>
        <w:t>》</w:t>
      </w:r>
      <w:r>
        <w:rPr>
          <w:rFonts w:hint="default" w:ascii="Times New Roman" w:hAnsi="Times New Roman" w:cs="Times New Roman"/>
          <w:bCs/>
          <w:sz w:val="24"/>
          <w:szCs w:val="24"/>
        </w:rPr>
        <w:t>（GB14554-1993），氨去除率为</w:t>
      </w:r>
      <w:r>
        <w:rPr>
          <w:rFonts w:hint="default" w:ascii="Times New Roman" w:hAnsi="Times New Roman" w:cs="Times New Roman"/>
          <w:bCs/>
          <w:sz w:val="24"/>
          <w:szCs w:val="24"/>
          <w:lang w:val="en-US" w:eastAsia="zh-CN"/>
        </w:rPr>
        <w:t>83.9</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84.1</w:t>
      </w:r>
      <w:r>
        <w:rPr>
          <w:rFonts w:hint="default" w:ascii="Times New Roman" w:hAnsi="Times New Roman" w:cs="Times New Roman"/>
          <w:bCs/>
          <w:sz w:val="24"/>
          <w:szCs w:val="24"/>
        </w:rPr>
        <w:t>%；项目产生的硫酸雾、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rPr>
        <w:t>经酸雾喷淋塔吸收后，硫酸雾、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color w:val="000000"/>
          <w:sz w:val="24"/>
        </w:rPr>
        <w:t>有组织</w:t>
      </w:r>
      <w:r>
        <w:rPr>
          <w:rFonts w:hint="default" w:ascii="Times New Roman" w:hAnsi="Times New Roman" w:cs="Times New Roman"/>
          <w:bCs/>
          <w:sz w:val="24"/>
          <w:szCs w:val="24"/>
        </w:rPr>
        <w:t>排放浓度及排放速率均满足《大气污染物综合排放标准》（GB16297-1996）表2中二级标准，硫酸雾去除率为</w:t>
      </w:r>
      <w:r>
        <w:rPr>
          <w:rFonts w:hint="default" w:ascii="Times New Roman" w:hAnsi="Times New Roman" w:cs="Times New Roman"/>
          <w:bCs/>
          <w:sz w:val="24"/>
          <w:szCs w:val="24"/>
          <w:lang w:val="en-US" w:eastAsia="zh-CN"/>
        </w:rPr>
        <w:t>77.5</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77</w:t>
      </w:r>
      <w:r>
        <w:rPr>
          <w:rFonts w:hint="default" w:ascii="Times New Roman" w:hAnsi="Times New Roman" w:cs="Times New Roman"/>
          <w:bCs/>
          <w:sz w:val="24"/>
          <w:szCs w:val="24"/>
        </w:rPr>
        <w:t>.6%，</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highlight w:val="none"/>
        </w:rPr>
        <w:t>去除率</w:t>
      </w:r>
      <w:r>
        <w:rPr>
          <w:rFonts w:hint="eastAsia" w:ascii="Times New Roman" w:hAnsi="Times New Roman" w:cs="Times New Roman"/>
          <w:bCs/>
          <w:sz w:val="24"/>
          <w:szCs w:val="24"/>
          <w:highlight w:val="none"/>
          <w:lang w:eastAsia="zh-CN"/>
        </w:rPr>
        <w:t>约</w:t>
      </w:r>
      <w:r>
        <w:rPr>
          <w:rFonts w:hint="default" w:ascii="Times New Roman" w:hAnsi="Times New Roman" w:cs="Times New Roman"/>
          <w:bCs/>
          <w:sz w:val="24"/>
          <w:szCs w:val="24"/>
          <w:highlight w:val="none"/>
        </w:rPr>
        <w:t>为6</w:t>
      </w:r>
      <w:r>
        <w:rPr>
          <w:rFonts w:hint="eastAsia" w:ascii="Times New Roman" w:hAnsi="Times New Roman" w:cs="Times New Roman"/>
          <w:bCs/>
          <w:sz w:val="24"/>
          <w:szCs w:val="24"/>
          <w:highlight w:val="none"/>
          <w:lang w:val="en-US" w:eastAsia="zh-CN"/>
        </w:rPr>
        <w:t>1.1</w:t>
      </w:r>
      <w:r>
        <w:rPr>
          <w:rFonts w:hint="default" w:ascii="Times New Roman" w:hAnsi="Times New Roman" w:cs="Times New Roman"/>
          <w:bCs/>
          <w:sz w:val="24"/>
          <w:szCs w:val="24"/>
          <w:highlight w:val="none"/>
        </w:rPr>
        <w:t>%。</w:t>
      </w:r>
    </w:p>
    <w:p>
      <w:pPr>
        <w:spacing w:line="520" w:lineRule="exact"/>
        <w:ind w:firstLine="480" w:firstLineChars="200"/>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综上，项目治理措施可行。</w:t>
      </w:r>
    </w:p>
    <w:p>
      <w:pPr>
        <w:spacing w:line="520" w:lineRule="exact"/>
        <w:ind w:left="480"/>
        <w:rPr>
          <w:rFonts w:hint="default" w:ascii="Times New Roman" w:hAnsi="Times New Roman" w:cs="Times New Roman"/>
          <w:bCs/>
          <w:color w:val="000000"/>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spacing w:line="520" w:lineRule="exact"/>
        <w:ind w:left="48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（2）无组织废气检测结果</w:t>
      </w:r>
    </w:p>
    <w:p>
      <w:pPr>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检测</w:t>
      </w:r>
      <w:r>
        <w:rPr>
          <w:rFonts w:hint="default" w:ascii="Times New Roman" w:hAnsi="Times New Roman" w:cs="Times New Roman"/>
          <w:color w:val="000000"/>
          <w:sz w:val="24"/>
          <w:szCs w:val="24"/>
        </w:rPr>
        <w:t>结果见表9.2-2。</w:t>
      </w:r>
    </w:p>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9.2-2      无组织废气检测结果一览表</w:t>
      </w:r>
    </w:p>
    <w:tbl>
      <w:tblPr>
        <w:tblStyle w:val="42"/>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644"/>
        <w:gridCol w:w="1580"/>
        <w:gridCol w:w="697"/>
        <w:gridCol w:w="697"/>
        <w:gridCol w:w="697"/>
        <w:gridCol w:w="694"/>
        <w:gridCol w:w="666"/>
        <w:gridCol w:w="661"/>
        <w:gridCol w:w="1473"/>
        <w:gridCol w:w="652"/>
        <w:gridCol w:w="652"/>
        <w:gridCol w:w="652"/>
        <w:gridCol w:w="655"/>
        <w:gridCol w:w="790"/>
        <w:gridCol w:w="78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458" w:type="pct"/>
            <w:gridSpan w:val="2"/>
            <w:vMerge w:val="restart"/>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采样日期</w:t>
            </w:r>
          </w:p>
        </w:tc>
        <w:tc>
          <w:tcPr>
            <w:tcW w:w="562" w:type="pct"/>
            <w:vMerge w:val="restart"/>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检测点位</w:t>
            </w:r>
          </w:p>
        </w:tc>
        <w:tc>
          <w:tcPr>
            <w:tcW w:w="99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颗粒物（</w:t>
            </w:r>
            <w:r>
              <w:rPr>
                <w:rFonts w:hint="default" w:ascii="Times New Roman" w:hAnsi="Times New Roman" w:eastAsia="宋体" w:cs="Times New Roman"/>
                <w:b w:val="0"/>
                <w:bCs w:val="0"/>
                <w:color w:val="auto"/>
                <w:sz w:val="21"/>
                <w:szCs w:val="21"/>
                <w:lang w:val="en-US" w:eastAsia="zh-CN"/>
              </w:rPr>
              <w:t>μg/m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rPr>
              <w:t>）</w:t>
            </w:r>
          </w:p>
        </w:tc>
        <w:tc>
          <w:tcPr>
            <w:tcW w:w="996"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vertAlign w:val="baseline"/>
                <w:lang w:val="en-US" w:eastAsia="zh-CN"/>
              </w:rPr>
              <w:t>硫酸雾（mg/m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vertAlign w:val="baseline"/>
                <w:lang w:val="en-US" w:eastAsia="zh-CN"/>
              </w:rPr>
              <w:t>）</w:t>
            </w:r>
          </w:p>
        </w:tc>
        <w:tc>
          <w:tcPr>
            <w:tcW w:w="929"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eastAsia="zh-CN"/>
              </w:rPr>
              <w:t>氨</w:t>
            </w:r>
            <w:r>
              <w:rPr>
                <w:rFonts w:hint="default" w:ascii="Times New Roman" w:hAnsi="Times New Roman" w:eastAsia="宋体" w:cs="Times New Roman"/>
                <w:b w:val="0"/>
                <w:bCs w:val="0"/>
                <w:color w:val="auto"/>
                <w:sz w:val="21"/>
                <w:szCs w:val="21"/>
                <w:vertAlign w:val="baseline"/>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vertAlign w:val="baseline"/>
                <w:lang w:val="en-US" w:eastAsia="zh-CN"/>
              </w:rPr>
              <w:t>）</w:t>
            </w:r>
          </w:p>
        </w:tc>
        <w:tc>
          <w:tcPr>
            <w:tcW w:w="106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硝酸雾（以氮氧化物计）（mg/m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8" w:type="pct"/>
            <w:gridSpan w:val="2"/>
            <w:vMerge w:val="continue"/>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val="0"/>
                <w:bCs w:val="0"/>
                <w:color w:val="auto"/>
                <w:sz w:val="21"/>
                <w:szCs w:val="21"/>
              </w:rPr>
            </w:pPr>
          </w:p>
        </w:tc>
        <w:tc>
          <w:tcPr>
            <w:tcW w:w="562" w:type="pct"/>
            <w:vMerge w:val="continue"/>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val="0"/>
                <w:bCs w:val="0"/>
                <w:color w:val="auto"/>
                <w:sz w:val="21"/>
                <w:szCs w:val="21"/>
              </w:rPr>
            </w:pPr>
          </w:p>
        </w:tc>
        <w:tc>
          <w:tcPr>
            <w:tcW w:w="49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检测浓度</w:t>
            </w:r>
          </w:p>
        </w:tc>
        <w:tc>
          <w:tcPr>
            <w:tcW w:w="495"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无组织排放</w:t>
            </w:r>
          </w:p>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浓度</w:t>
            </w:r>
          </w:p>
        </w:tc>
        <w:tc>
          <w:tcPr>
            <w:tcW w:w="472"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vertAlign w:val="baseline"/>
                <w:lang w:val="en-US" w:eastAsia="zh-CN"/>
              </w:rPr>
              <w:t>检测浓度</w:t>
            </w:r>
          </w:p>
        </w:tc>
        <w:tc>
          <w:tcPr>
            <w:tcW w:w="5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无组织排放</w:t>
            </w:r>
          </w:p>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vertAlign w:val="baseline"/>
                <w:lang w:val="en-US" w:eastAsia="zh-CN"/>
              </w:rPr>
              <w:t>浓度</w:t>
            </w:r>
          </w:p>
        </w:tc>
        <w:tc>
          <w:tcPr>
            <w:tcW w:w="46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检测浓度</w:t>
            </w:r>
          </w:p>
        </w:tc>
        <w:tc>
          <w:tcPr>
            <w:tcW w:w="46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无组织排放</w:t>
            </w:r>
          </w:p>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浓度</w:t>
            </w:r>
          </w:p>
        </w:tc>
        <w:tc>
          <w:tcPr>
            <w:tcW w:w="55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检测浓度</w:t>
            </w:r>
          </w:p>
        </w:tc>
        <w:tc>
          <w:tcPr>
            <w:tcW w:w="5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无组织排放</w:t>
            </w:r>
          </w:p>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220</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5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0.11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0.043</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352</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464" w:type="pct"/>
            <w:gridSpan w:val="2"/>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firstLine="210" w:firstLineChars="100"/>
              <w:jc w:val="left"/>
              <w:textAlignment w:val="auto"/>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0.073</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0.10</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0.057</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495" w:type="pct"/>
            <w:gridSpan w:val="2"/>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0.11</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0.055</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217</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370</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restart"/>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0.03</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0.09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0.040</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pStyle w:val="41"/>
              <w:widowControl w:val="0"/>
              <w:spacing w:line="240" w:lineRule="auto"/>
              <w:ind w:left="-105" w:leftChars="-50" w:right="-105" w:rightChars="-50"/>
              <w:jc w:val="both"/>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370</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0.09</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firstLine="210" w:firstLineChars="100"/>
              <w:jc w:val="left"/>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0.059</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335</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0.068</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0.071</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363</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restart"/>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0.044</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338</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firstLine="210" w:firstLineChars="100"/>
              <w:jc w:val="left"/>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0.076</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327</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0.068</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363</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0.10</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0.057</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235</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367</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5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0.12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0.045</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367</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464" w:type="pct"/>
            <w:gridSpan w:val="2"/>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firstLine="210" w:firstLineChars="100"/>
              <w:jc w:val="left"/>
              <w:textAlignment w:val="auto"/>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0.057</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345</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0.12</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0.064</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495" w:type="pct"/>
            <w:gridSpan w:val="2"/>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0.07</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0.070</w:t>
            </w:r>
          </w:p>
        </w:tc>
        <w:tc>
          <w:tcPr>
            <w:tcW w:w="501" w:type="pct"/>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360</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restart"/>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0.10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0.041</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pStyle w:val="41"/>
              <w:widowControl w:val="0"/>
              <w:spacing w:line="240" w:lineRule="auto"/>
              <w:ind w:left="-105" w:leftChars="-50" w:right="-105" w:rightChars="-50" w:firstLine="420" w:firstLineChars="0"/>
              <w:jc w:val="both"/>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352</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firstLine="210" w:firstLineChars="100"/>
              <w:jc w:val="left"/>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0.073</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360</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0.062</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0.10</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0.059</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:00</w:t>
            </w: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212</w:t>
            </w:r>
          </w:p>
        </w:tc>
        <w:tc>
          <w:tcPr>
            <w:tcW w:w="495"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358</w:t>
            </w: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restart"/>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未检出</w:t>
            </w: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464" w:type="pct"/>
            <w:gridSpan w:val="2"/>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0.09 </w:t>
            </w: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0.044</w:t>
            </w:r>
          </w:p>
        </w:tc>
        <w:tc>
          <w:tcPr>
            <w:tcW w:w="501"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338</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0.09</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firstLine="210" w:firstLineChars="100"/>
              <w:jc w:val="left"/>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0.058</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345</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0.064</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8" w:type="pct"/>
            <w:gridSpan w:val="2"/>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562"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496"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358</w:t>
            </w:r>
          </w:p>
        </w:tc>
        <w:tc>
          <w:tcPr>
            <w:tcW w:w="495" w:type="pct"/>
            <w:gridSpan w:val="2"/>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472"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523" w:type="pct"/>
            <w:vMerge w:val="continue"/>
            <w:tcBorders>
              <w:tl2br w:val="nil"/>
              <w:tr2bl w:val="nil"/>
            </w:tcBorders>
            <w:noWrap w:val="0"/>
            <w:vAlign w:val="center"/>
          </w:tcPr>
          <w:p>
            <w:pPr>
              <w:spacing w:line="240" w:lineRule="auto"/>
              <w:ind w:left="-105" w:leftChars="-50" w:right="-105" w:rightChars="-50"/>
              <w:jc w:val="center"/>
              <w:textAlignment w:val="center"/>
              <w:rPr>
                <w:rFonts w:hint="default" w:ascii="Times New Roman" w:hAnsi="Times New Roman" w:eastAsia="宋体" w:cs="Times New Roman"/>
                <w:color w:val="auto"/>
                <w:sz w:val="21"/>
                <w:szCs w:val="21"/>
              </w:rPr>
            </w:pPr>
          </w:p>
        </w:tc>
        <w:tc>
          <w:tcPr>
            <w:tcW w:w="464"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464" w:type="pct"/>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firstLine="210" w:firstLineChars="100"/>
              <w:jc w:val="center"/>
              <w:textAlignment w:val="center"/>
              <w:rPr>
                <w:rFonts w:hint="default" w:ascii="Times New Roman" w:hAnsi="Times New Roman" w:eastAsia="宋体" w:cs="Times New Roman"/>
                <w:color w:val="auto"/>
                <w:sz w:val="21"/>
                <w:szCs w:val="21"/>
              </w:rPr>
            </w:pPr>
          </w:p>
        </w:tc>
        <w:tc>
          <w:tcPr>
            <w:tcW w:w="559" w:type="pct"/>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0.078</w:t>
            </w:r>
          </w:p>
        </w:tc>
        <w:tc>
          <w:tcPr>
            <w:tcW w:w="50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7"/>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b w:val="0"/>
                <w:bCs w:val="0"/>
                <w:color w:val="auto"/>
                <w:sz w:val="21"/>
                <w:szCs w:val="21"/>
                <w:lang w:eastAsia="zh-CN"/>
              </w:rPr>
              <w:t>气象参数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229" w:type="pct"/>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535" w:type="pct"/>
            <w:gridSpan w:val="5"/>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观测时间</w:t>
            </w:r>
          </w:p>
        </w:tc>
        <w:tc>
          <w:tcPr>
            <w:tcW w:w="484" w:type="pct"/>
            <w:gridSpan w:val="2"/>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天气</w:t>
            </w:r>
          </w:p>
        </w:tc>
        <w:tc>
          <w:tcPr>
            <w:tcW w:w="991" w:type="pct"/>
            <w:gridSpan w:val="3"/>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气温（℃）</w:t>
            </w:r>
          </w:p>
        </w:tc>
        <w:tc>
          <w:tcPr>
            <w:tcW w:w="464" w:type="pct"/>
            <w:gridSpan w:val="2"/>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气压（kPa）</w:t>
            </w:r>
          </w:p>
        </w:tc>
        <w:tc>
          <w:tcPr>
            <w:tcW w:w="513" w:type="pct"/>
            <w:gridSpan w:val="2"/>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风速（m/s）</w:t>
            </w:r>
          </w:p>
        </w:tc>
        <w:tc>
          <w:tcPr>
            <w:tcW w:w="781" w:type="pct"/>
            <w:gridSpan w:val="2"/>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 w:type="pct"/>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39" w:type="pct"/>
            <w:gridSpan w:val="3"/>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2023.08.14</w:t>
            </w: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09</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99.8</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2.9</w:t>
            </w:r>
          </w:p>
        </w:tc>
        <w:tc>
          <w:tcPr>
            <w:tcW w:w="781"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9" w:type="pct"/>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039" w:type="pct"/>
            <w:gridSpan w:val="3"/>
            <w:vMerge w:val="continue"/>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99.4</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2.8</w:t>
            </w:r>
          </w:p>
        </w:tc>
        <w:tc>
          <w:tcPr>
            <w:tcW w:w="781" w:type="pct"/>
            <w:gridSpan w:val="2"/>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 w:type="pct"/>
            <w:tcBorders>
              <w:tl2br w:val="nil"/>
              <w:tr2bl w:val="nil"/>
            </w:tcBorders>
            <w:noWrap w:val="0"/>
            <w:vAlign w:val="center"/>
          </w:tcPr>
          <w:p>
            <w:pPr>
              <w:pStyle w:val="20"/>
              <w:spacing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039" w:type="pct"/>
            <w:gridSpan w:val="3"/>
            <w:vMerge w:val="continue"/>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99.2</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781" w:type="pct"/>
            <w:gridSpan w:val="2"/>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 w:type="pct"/>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039" w:type="pct"/>
            <w:gridSpan w:val="3"/>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2023.08.15</w:t>
            </w: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09</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28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99.7</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2.5</w:t>
            </w:r>
          </w:p>
        </w:tc>
        <w:tc>
          <w:tcPr>
            <w:tcW w:w="781"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 w:type="pct"/>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039" w:type="pct"/>
            <w:gridSpan w:val="3"/>
            <w:vMerge w:val="continue"/>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99.3</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781" w:type="pct"/>
            <w:gridSpan w:val="2"/>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 w:type="pct"/>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039" w:type="pct"/>
            <w:gridSpan w:val="3"/>
            <w:vMerge w:val="continue"/>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496" w:type="pct"/>
            <w:gridSpan w:val="2"/>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tc>
        <w:tc>
          <w:tcPr>
            <w:tcW w:w="484" w:type="pct"/>
            <w:gridSpan w:val="2"/>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晴</w:t>
            </w:r>
          </w:p>
        </w:tc>
        <w:tc>
          <w:tcPr>
            <w:tcW w:w="991" w:type="pct"/>
            <w:gridSpan w:val="3"/>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5</w:t>
            </w:r>
          </w:p>
        </w:tc>
        <w:tc>
          <w:tcPr>
            <w:tcW w:w="464"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99.2</w:t>
            </w:r>
          </w:p>
        </w:tc>
        <w:tc>
          <w:tcPr>
            <w:tcW w:w="513" w:type="pct"/>
            <w:gridSpan w:val="2"/>
            <w:tcBorders>
              <w:tl2br w:val="nil"/>
              <w:tr2bl w:val="nil"/>
            </w:tcBorders>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781" w:type="pct"/>
            <w:gridSpan w:val="2"/>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NE</w:t>
            </w:r>
          </w:p>
        </w:tc>
      </w:tr>
    </w:tbl>
    <w:p>
      <w:pPr>
        <w:pStyle w:val="41"/>
        <w:spacing w:after="0" w:line="520" w:lineRule="exact"/>
        <w:ind w:left="0" w:leftChars="0" w:firstLine="480"/>
        <w:rPr>
          <w:rFonts w:hint="default" w:ascii="Times New Roman" w:hAnsi="Times New Roman" w:cs="Times New Roman"/>
          <w:sz w:val="24"/>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linePitch="312" w:charSpace="0"/>
        </w:sectPr>
      </w:pPr>
    </w:p>
    <w:p>
      <w:pPr>
        <w:pStyle w:val="41"/>
        <w:spacing w:after="0" w:line="520" w:lineRule="exact"/>
        <w:ind w:left="0" w:leftChars="0" w:firstLine="480"/>
        <w:rPr>
          <w:rFonts w:hint="default" w:ascii="Times New Roman" w:hAnsi="Times New Roman" w:cs="Times New Roman"/>
          <w:sz w:val="40"/>
        </w:rPr>
      </w:pPr>
      <w:r>
        <w:rPr>
          <w:rFonts w:hint="default" w:ascii="Times New Roman" w:hAnsi="Times New Roman" w:cs="Times New Roman"/>
          <w:sz w:val="24"/>
        </w:rPr>
        <w:t>本项目无组织排放废气颗粒物</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default"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的要求；氨无组织排放浓度满足《</w:t>
      </w:r>
      <w:r>
        <w:rPr>
          <w:rFonts w:hint="default" w:ascii="Times New Roman" w:hAnsi="Times New Roman" w:cs="Times New Roman" w:eastAsiaTheme="minorEastAsia"/>
          <w:sz w:val="24"/>
        </w:rPr>
        <w:t>恶臭污染物排放标准</w:t>
      </w:r>
      <w:r>
        <w:rPr>
          <w:rFonts w:hint="default" w:ascii="Times New Roman" w:hAnsi="Times New Roman" w:cs="Times New Roman"/>
          <w:sz w:val="24"/>
        </w:rPr>
        <w:t>》</w:t>
      </w:r>
      <w:r>
        <w:rPr>
          <w:rFonts w:hint="default" w:ascii="Times New Roman" w:hAnsi="Times New Roman" w:cs="Times New Roman" w:eastAsiaTheme="minorEastAsia"/>
          <w:sz w:val="24"/>
        </w:rPr>
        <w:t>（GB14554-1993）</w:t>
      </w:r>
      <w:r>
        <w:rPr>
          <w:rFonts w:hint="default" w:ascii="Times New Roman" w:hAnsi="Times New Roman" w:cs="Times New Roman"/>
          <w:sz w:val="24"/>
        </w:rPr>
        <w:t>周界外浓度1.5mg/m</w:t>
      </w:r>
      <w:r>
        <w:rPr>
          <w:rFonts w:hint="default" w:ascii="Times New Roman" w:hAnsi="Times New Roman" w:cs="Times New Roman"/>
          <w:sz w:val="24"/>
          <w:vertAlign w:val="superscript"/>
        </w:rPr>
        <w:t>3</w:t>
      </w:r>
      <w:r>
        <w:rPr>
          <w:rFonts w:hint="default" w:ascii="Times New Roman" w:hAnsi="Times New Roman" w:cs="Times New Roman"/>
          <w:sz w:val="24"/>
        </w:rPr>
        <w:t>的要求；氮氧化物无组织排放浓度满足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（GB16297-1996）周界外浓度最高点0.12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bCs/>
          <w:sz w:val="24"/>
          <w:szCs w:val="21"/>
        </w:rPr>
        <w:t>；</w:t>
      </w:r>
      <w:r>
        <w:rPr>
          <w:rFonts w:hint="default" w:ascii="Times New Roman" w:hAnsi="Times New Roman" w:cs="Times New Roman"/>
          <w:sz w:val="24"/>
          <w:lang w:eastAsia="zh-CN"/>
        </w:rPr>
        <w:t>硫酸</w:t>
      </w:r>
      <w:r>
        <w:rPr>
          <w:rFonts w:hint="default" w:ascii="Times New Roman" w:hAnsi="Times New Roman" w:cs="Times New Roman"/>
          <w:sz w:val="24"/>
        </w:rPr>
        <w:t>雾无组织排放浓度满足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pStyle w:val="41"/>
        <w:spacing w:after="0" w:line="520" w:lineRule="exact"/>
        <w:ind w:left="0" w:leftChars="0" w:firstLine="480"/>
        <w:rPr>
          <w:rFonts w:hint="default" w:ascii="Times New Roman" w:hAnsi="Times New Roman" w:cs="Times New Roman"/>
          <w:sz w:val="24"/>
        </w:rPr>
      </w:pPr>
      <w:r>
        <w:rPr>
          <w:rFonts w:hint="default" w:ascii="Times New Roman" w:hAnsi="Times New Roman" w:cs="Times New Roman"/>
          <w:sz w:val="24"/>
        </w:rPr>
        <w:t>项目环保措施有效可行，能够达到相关法律、法规、标准的要求。</w:t>
      </w:r>
    </w:p>
    <w:p>
      <w:pPr>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9.2.1.2 废水</w:t>
      </w:r>
    </w:p>
    <w:p>
      <w:pPr>
        <w:adjustRightInd w:val="0"/>
        <w:snapToGrid w:val="0"/>
        <w:spacing w:line="520" w:lineRule="exact"/>
        <w:ind w:firstLine="480" w:firstLineChars="200"/>
        <w:outlineLvl w:val="2"/>
        <w:rPr>
          <w:rFonts w:hint="default" w:ascii="Times New Roman" w:hAnsi="Times New Roman" w:cs="Times New Roman"/>
          <w:sz w:val="24"/>
          <w:szCs w:val="24"/>
        </w:rPr>
      </w:pPr>
      <w:r>
        <w:rPr>
          <w:rFonts w:hint="default" w:ascii="Times New Roman" w:hAnsi="Times New Roman" w:cs="Times New Roman"/>
          <w:color w:val="000000"/>
          <w:sz w:val="24"/>
        </w:rPr>
        <w:t>项目</w:t>
      </w:r>
      <w:r>
        <w:rPr>
          <w:rFonts w:hint="default" w:ascii="Times New Roman" w:hAnsi="Times New Roman" w:cs="Times New Roman"/>
          <w:color w:val="000000"/>
          <w:sz w:val="24"/>
          <w:lang w:eastAsia="zh-CN"/>
        </w:rPr>
        <w:t>生产废水经中和处理后返回摇床工序循环使用不外排，生活污水经化粪池处理后排入市政管网</w:t>
      </w:r>
      <w:r>
        <w:rPr>
          <w:rFonts w:hint="default" w:ascii="Times New Roman" w:hAnsi="Times New Roman" w:cs="Times New Roman"/>
          <w:color w:val="000000"/>
          <w:sz w:val="24"/>
        </w:rPr>
        <w:t>。本次验收对</w:t>
      </w:r>
      <w:r>
        <w:rPr>
          <w:rFonts w:hint="default" w:ascii="Times New Roman" w:hAnsi="Times New Roman" w:cs="Times New Roman"/>
          <w:color w:val="000000"/>
          <w:sz w:val="24"/>
          <w:lang w:eastAsia="zh-CN"/>
        </w:rPr>
        <w:t>生活污水</w:t>
      </w:r>
      <w:r>
        <w:rPr>
          <w:rFonts w:hint="default" w:ascii="Times New Roman" w:hAnsi="Times New Roman" w:cs="Times New Roman"/>
          <w:color w:val="000000"/>
          <w:sz w:val="24"/>
        </w:rPr>
        <w:t>出水口设1个监测点位。项目污水处理站监测结果详见表9.2-3。</w:t>
      </w:r>
    </w:p>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9.2-3                  项目废水监测结果一览表</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1"/>
        <w:gridCol w:w="1417"/>
        <w:gridCol w:w="1417"/>
        <w:gridCol w:w="1393"/>
        <w:gridCol w:w="22"/>
        <w:gridCol w:w="141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61" w:type="pct"/>
            <w:gridSpan w:val="2"/>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采样日期</w:t>
            </w:r>
          </w:p>
        </w:tc>
        <w:tc>
          <w:tcPr>
            <w:tcW w:w="3938" w:type="pct"/>
            <w:gridSpan w:val="6"/>
            <w:shd w:val="clear" w:color="auto" w:fill="FFFFFF"/>
            <w:vAlign w:val="center"/>
          </w:tcPr>
          <w:p>
            <w:pPr>
              <w:pStyle w:val="143"/>
              <w:spacing w:before="12"/>
              <w:jc w:val="center"/>
              <w:rPr>
                <w:rFonts w:hint="default" w:ascii="Times New Roman" w:hAnsi="Times New Roman" w:eastAsia="宋体" w:cs="Times New Roman"/>
                <w:snapToGrid w:val="0"/>
                <w:kern w:val="0"/>
                <w:szCs w:val="21"/>
                <w:lang w:eastAsia="zh-CN"/>
              </w:rPr>
            </w:pPr>
            <w:r>
              <w:rPr>
                <w:rFonts w:hint="default" w:ascii="Times New Roman" w:hAnsi="Times New Roman" w:cs="Times New Roman"/>
                <w:snapToGrid w:val="0"/>
                <w:kern w:val="0"/>
                <w:szCs w:val="21"/>
              </w:rPr>
              <w:t>202</w:t>
            </w:r>
            <w:r>
              <w:rPr>
                <w:rFonts w:hint="default" w:ascii="Times New Roman" w:hAnsi="Times New Roman" w:cs="Times New Roman"/>
                <w:snapToGrid w:val="0"/>
                <w:kern w:val="0"/>
                <w:szCs w:val="21"/>
                <w:lang w:val="en-US" w:eastAsia="zh-CN"/>
              </w:rPr>
              <w:t>3</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lang w:val="en-US" w:eastAsia="zh-CN"/>
              </w:rPr>
              <w:t>8</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检测因子</w:t>
            </w:r>
          </w:p>
        </w:tc>
        <w:tc>
          <w:tcPr>
            <w:tcW w:w="581"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标准值</w:t>
            </w:r>
          </w:p>
        </w:tc>
        <w:tc>
          <w:tcPr>
            <w:tcW w:w="3938" w:type="pct"/>
            <w:gridSpan w:val="6"/>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采样点位/点位编号/检测结果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3938" w:type="pct"/>
            <w:gridSpan w:val="6"/>
            <w:shd w:val="clear" w:color="auto" w:fill="FFFFFF"/>
            <w:vAlign w:val="center"/>
          </w:tcPr>
          <w:p>
            <w:pPr>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化粪池出口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832" w:type="pct"/>
            <w:shd w:val="clear" w:color="auto" w:fill="FFFFFF"/>
            <w:vAlign w:val="center"/>
          </w:tcPr>
          <w:p>
            <w:pPr>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第一次</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第二次</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第三次</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第四次</w:t>
            </w:r>
          </w:p>
        </w:tc>
        <w:tc>
          <w:tcPr>
            <w:tcW w:w="611" w:type="pct"/>
            <w:shd w:val="clear" w:color="auto" w:fill="FFFFFF"/>
            <w:vAlign w:val="center"/>
          </w:tcPr>
          <w:p>
            <w:pPr>
              <w:spacing w:before="12"/>
              <w:jc w:val="center"/>
              <w:rPr>
                <w:rFonts w:hint="default" w:ascii="Times New Roman" w:hAnsi="Times New Roman" w:cs="Times New Roman"/>
                <w:szCs w:val="21"/>
              </w:rPr>
            </w:pPr>
            <w:r>
              <w:rPr>
                <w:rFonts w:hint="default" w:ascii="Times New Roman" w:hAnsi="Times New Roman" w:cs="Times New Roman"/>
                <w:szCs w:val="21"/>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pH</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6-9</w:t>
            </w:r>
          </w:p>
        </w:tc>
        <w:tc>
          <w:tcPr>
            <w:tcW w:w="832" w:type="pct"/>
            <w:shd w:val="clear" w:color="auto" w:fill="FFFFFF"/>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5</w:t>
            </w:r>
          </w:p>
        </w:tc>
        <w:tc>
          <w:tcPr>
            <w:tcW w:w="832" w:type="pct"/>
            <w:shd w:val="clear" w:color="auto" w:fill="FFFFFF"/>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6</w:t>
            </w:r>
          </w:p>
        </w:tc>
        <w:tc>
          <w:tcPr>
            <w:tcW w:w="830" w:type="pct"/>
            <w:gridSpan w:val="2"/>
            <w:shd w:val="clear" w:color="auto" w:fill="FFFFFF"/>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3</w:t>
            </w:r>
          </w:p>
        </w:tc>
        <w:tc>
          <w:tcPr>
            <w:tcW w:w="832" w:type="pct"/>
            <w:shd w:val="clear" w:color="auto" w:fill="FFFFFF"/>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6</w:t>
            </w:r>
          </w:p>
        </w:tc>
        <w:tc>
          <w:tcPr>
            <w:tcW w:w="611" w:type="pct"/>
            <w:shd w:val="clear" w:color="auto" w:fill="FFFFFF"/>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50</w:t>
            </w:r>
            <w:r>
              <w:rPr>
                <w:rFonts w:hint="default"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61</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53</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58</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57</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30</w:t>
            </w:r>
            <w:r>
              <w:rPr>
                <w:rFonts w:hint="default"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17.5</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6.0</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16.9</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16.4</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kern w:val="0"/>
                <w:szCs w:val="21"/>
                <w:lang w:val="en-US" w:eastAsia="zh-CN"/>
              </w:rPr>
              <w:t>16.7</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3.29</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3.15</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3.33</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3.27</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3.26</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40</w:t>
            </w:r>
            <w:r>
              <w:rPr>
                <w:rFonts w:hint="default" w:ascii="Times New Roman" w:hAnsi="Times New Roman" w:cs="Times New Roman"/>
                <w:kern w:val="0"/>
                <w:szCs w:val="21"/>
              </w:rPr>
              <w:t>0mg/L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34</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39</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41</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37.3</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61" w:type="pct"/>
            <w:gridSpan w:val="2"/>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采样日期</w:t>
            </w:r>
          </w:p>
        </w:tc>
        <w:tc>
          <w:tcPr>
            <w:tcW w:w="3938" w:type="pct"/>
            <w:gridSpan w:val="6"/>
            <w:shd w:val="clear" w:color="auto" w:fill="FFFFFF"/>
            <w:vAlign w:val="center"/>
          </w:tcPr>
          <w:p>
            <w:pPr>
              <w:pStyle w:val="143"/>
              <w:spacing w:before="12"/>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202</w:t>
            </w:r>
            <w:r>
              <w:rPr>
                <w:rFonts w:hint="default" w:ascii="Times New Roman" w:hAnsi="Times New Roman" w:cs="Times New Roman"/>
                <w:snapToGrid w:val="0"/>
                <w:kern w:val="0"/>
                <w:szCs w:val="21"/>
                <w:lang w:val="en-US" w:eastAsia="zh-CN"/>
              </w:rPr>
              <w:t>3</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lang w:val="en-US" w:eastAsia="zh-CN"/>
              </w:rPr>
              <w:t>8</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检测因子</w:t>
            </w:r>
          </w:p>
        </w:tc>
        <w:tc>
          <w:tcPr>
            <w:tcW w:w="581"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标准值</w:t>
            </w:r>
          </w:p>
        </w:tc>
        <w:tc>
          <w:tcPr>
            <w:tcW w:w="3938" w:type="pct"/>
            <w:gridSpan w:val="6"/>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采样点位/点位编号/检测结果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3938" w:type="pct"/>
            <w:gridSpan w:val="6"/>
            <w:shd w:val="clear" w:color="auto" w:fill="FFFFFF"/>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化粪池出口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第一次</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第二次</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第三次</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第四次</w:t>
            </w:r>
          </w:p>
        </w:tc>
        <w:tc>
          <w:tcPr>
            <w:tcW w:w="611" w:type="pct"/>
            <w:shd w:val="clear" w:color="auto" w:fill="FFFFFF"/>
            <w:vAlign w:val="center"/>
          </w:tcPr>
          <w:p>
            <w:pPr>
              <w:spacing w:before="12"/>
              <w:jc w:val="center"/>
              <w:rPr>
                <w:rFonts w:hint="default" w:ascii="Times New Roman" w:hAnsi="Times New Roman" w:cs="Times New Roman"/>
                <w:szCs w:val="21"/>
              </w:rPr>
            </w:pPr>
            <w:r>
              <w:rPr>
                <w:rFonts w:hint="default" w:ascii="Times New Roman" w:hAnsi="Times New Roman" w:cs="Times New Roman"/>
                <w:szCs w:val="21"/>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pH</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6-9</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.4</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5</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.4</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6</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default"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50</w:t>
            </w:r>
            <w:r>
              <w:rPr>
                <w:rFonts w:hint="default"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62</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56</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59</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53</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57.5</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30</w:t>
            </w:r>
            <w:r>
              <w:rPr>
                <w:rFonts w:hint="default"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17.8</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6.</w:t>
            </w:r>
            <w:r>
              <w:rPr>
                <w:rFonts w:hint="default" w:ascii="Times New Roman" w:hAnsi="Times New Roman" w:cs="Times New Roman"/>
                <w:color w:val="000000"/>
                <w:szCs w:val="21"/>
                <w:lang w:val="en-US" w:eastAsia="zh-CN"/>
              </w:rPr>
              <w:t>6</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17.1</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16.0</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0"/>
                <w:szCs w:val="21"/>
                <w:lang w:val="en-US" w:eastAsia="zh-CN"/>
              </w:rPr>
              <w:t>16.9</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3.40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3.35</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3.13</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3.47</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3.34</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40</w:t>
            </w:r>
            <w:r>
              <w:rPr>
                <w:rFonts w:hint="default" w:ascii="Times New Roman" w:hAnsi="Times New Roman" w:cs="Times New Roman"/>
                <w:kern w:val="0"/>
                <w:szCs w:val="21"/>
              </w:rPr>
              <w:t>0mg/L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34</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39</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41</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38.3</w:t>
            </w:r>
            <w:r>
              <w:rPr>
                <w:rFonts w:hint="default" w:ascii="Times New Roman" w:hAnsi="Times New Roman" w:cs="Times New Roman"/>
                <w:kern w:val="0"/>
                <w:szCs w:val="21"/>
              </w:rPr>
              <w:t>mg/L</w:t>
            </w:r>
          </w:p>
        </w:tc>
      </w:tr>
    </w:tbl>
    <w:p>
      <w:pPr>
        <w:adjustRightInd w:val="0"/>
        <w:snapToGrid w:val="0"/>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由监测结果可知，项目中和废水监测结果满足《污水综合排放标准》（GB8978-1996）表4</w:t>
      </w:r>
      <w:r>
        <w:rPr>
          <w:rFonts w:hint="default" w:ascii="Times New Roman" w:hAnsi="Times New Roman" w:cs="Times New Roman"/>
          <w:color w:val="000000"/>
          <w:sz w:val="24"/>
          <w:lang w:eastAsia="zh-CN"/>
        </w:rPr>
        <w:t>三</w:t>
      </w:r>
      <w:r>
        <w:rPr>
          <w:rFonts w:hint="default" w:ascii="Times New Roman" w:hAnsi="Times New Roman" w:cs="Times New Roman"/>
          <w:color w:val="000000"/>
          <w:sz w:val="24"/>
        </w:rPr>
        <w:t>级标准要求，项目废水治理措施有效可行。</w:t>
      </w:r>
    </w:p>
    <w:p>
      <w:pPr>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9.2.1.3 噪声</w:t>
      </w:r>
    </w:p>
    <w:p>
      <w:pPr>
        <w:spacing w:line="520" w:lineRule="exact"/>
        <w:ind w:firstLine="480" w:firstLineChars="200"/>
        <w:rPr>
          <w:rFonts w:hint="default" w:ascii="Times New Roman" w:hAnsi="Times New Roman" w:cs="Times New Roman"/>
          <w:kern w:val="0"/>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项目噪声主要来自生产设备运行产生的机械噪声，采取基础减震、厂房隔声等降噪措施。项目</w:t>
      </w:r>
      <w:r>
        <w:rPr>
          <w:rFonts w:hint="default" w:ascii="Times New Roman" w:hAnsi="Times New Roman" w:cs="Times New Roman"/>
          <w:sz w:val="24"/>
          <w:szCs w:val="24"/>
        </w:rPr>
        <w:t>各厂界</w:t>
      </w:r>
      <w:r>
        <w:rPr>
          <w:rFonts w:hint="default" w:ascii="Times New Roman" w:hAnsi="Times New Roman" w:cs="Times New Roman"/>
          <w:sz w:val="24"/>
          <w:szCs w:val="24"/>
          <w:lang w:eastAsia="zh-CN"/>
        </w:rPr>
        <w:t>中西厂界具备噪声监测条件，</w:t>
      </w:r>
      <w:r>
        <w:rPr>
          <w:rFonts w:hint="default" w:ascii="Times New Roman" w:hAnsi="Times New Roman" w:cs="Times New Roman"/>
          <w:sz w:val="24"/>
          <w:szCs w:val="24"/>
        </w:rPr>
        <w:t>噪声监测结果见表9.2-4。</w:t>
      </w:r>
    </w:p>
    <w:p>
      <w:pPr>
        <w:spacing w:line="520" w:lineRule="exact"/>
        <w:ind w:firstLine="600" w:firstLineChars="250"/>
        <w:rPr>
          <w:rFonts w:hint="default" w:ascii="Times New Roman" w:hAnsi="Times New Roman" w:eastAsia="黑体" w:cs="Times New Roman"/>
          <w:sz w:val="24"/>
          <w:szCs w:val="21"/>
        </w:rPr>
      </w:pPr>
      <w:r>
        <w:rPr>
          <w:rFonts w:hint="default" w:ascii="Times New Roman" w:hAnsi="Times New Roman" w:eastAsia="黑体" w:cs="Times New Roman"/>
          <w:sz w:val="24"/>
          <w:szCs w:val="21"/>
        </w:rPr>
        <w:t xml:space="preserve">表9.2-4            </w:t>
      </w:r>
      <w:r>
        <w:rPr>
          <w:rFonts w:hint="default" w:ascii="Times New Roman" w:hAnsi="Times New Roman" w:eastAsia="黑体" w:cs="Times New Roman"/>
          <w:b/>
          <w:bCs/>
          <w:sz w:val="24"/>
          <w:szCs w:val="21"/>
        </w:rPr>
        <w:t xml:space="preserve"> </w:t>
      </w:r>
      <w:r>
        <w:rPr>
          <w:rFonts w:hint="default" w:ascii="Times New Roman" w:hAnsi="Times New Roman" w:eastAsia="黑体" w:cs="Times New Roman"/>
          <w:sz w:val="24"/>
          <w:szCs w:val="21"/>
        </w:rPr>
        <w:t>厂界噪声检测结果          单位：dB（A）</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334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9" w:type="pct"/>
            <w:vAlign w:val="center"/>
          </w:tcPr>
          <w:p>
            <w:pPr>
              <w:snapToGrid w:val="0"/>
              <w:jc w:val="center"/>
              <w:rPr>
                <w:rFonts w:hint="default" w:ascii="Times New Roman" w:hAnsi="Times New Roman" w:cs="Times New Roman"/>
                <w:b/>
                <w:snapToGrid w:val="0"/>
                <w:kern w:val="0"/>
                <w:szCs w:val="21"/>
              </w:rPr>
            </w:pPr>
            <w:r>
              <w:rPr>
                <w:rFonts w:hint="default" w:ascii="Times New Roman" w:hAnsi="Times New Roman" w:cs="Times New Roman"/>
                <w:szCs w:val="21"/>
              </w:rPr>
              <w:t>检测日期</w:t>
            </w:r>
          </w:p>
        </w:tc>
        <w:tc>
          <w:tcPr>
            <w:tcW w:w="1966" w:type="pc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检测点位</w:t>
            </w:r>
          </w:p>
        </w:tc>
        <w:tc>
          <w:tcPr>
            <w:tcW w:w="1944" w:type="pc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jc w:val="center"/>
              <w:rPr>
                <w:rFonts w:hint="default" w:ascii="Times New Roman" w:hAnsi="Times New Roman" w:eastAsia="宋体" w:cs="Times New Roman"/>
                <w:bCs/>
                <w:color w:val="000000"/>
                <w:szCs w:val="21"/>
                <w:lang w:val="en-US" w:eastAsia="zh-CN"/>
              </w:rPr>
            </w:pPr>
            <w:r>
              <w:rPr>
                <w:rFonts w:hint="default" w:ascii="Times New Roman" w:hAnsi="Times New Roman" w:cs="Times New Roman"/>
                <w:bCs/>
                <w:color w:val="000000"/>
                <w:szCs w:val="21"/>
              </w:rPr>
              <w:t>202</w:t>
            </w:r>
            <w:r>
              <w:rPr>
                <w:rFonts w:hint="default" w:ascii="Times New Roman" w:hAnsi="Times New Roman" w:cs="Times New Roman"/>
                <w:bCs/>
                <w:color w:val="000000"/>
                <w:szCs w:val="21"/>
                <w:lang w:val="en-US" w:eastAsia="zh-CN"/>
              </w:rPr>
              <w:t>3</w:t>
            </w:r>
            <w:r>
              <w:rPr>
                <w:rFonts w:hint="default" w:ascii="Times New Roman" w:hAnsi="Times New Roman" w:cs="Times New Roman"/>
                <w:bCs/>
                <w:color w:val="000000"/>
                <w:szCs w:val="21"/>
              </w:rPr>
              <w:t>.</w:t>
            </w:r>
            <w:r>
              <w:rPr>
                <w:rFonts w:hint="default" w:ascii="Times New Roman" w:hAnsi="Times New Roman" w:cs="Times New Roman"/>
                <w:bCs/>
                <w:color w:val="000000"/>
                <w:szCs w:val="21"/>
                <w:lang w:val="en-US" w:eastAsia="zh-CN"/>
              </w:rPr>
              <w:t>8</w:t>
            </w:r>
            <w:r>
              <w:rPr>
                <w:rFonts w:hint="default" w:ascii="Times New Roman" w:hAnsi="Times New Roman" w:cs="Times New Roman"/>
                <w:bCs/>
                <w:color w:val="000000"/>
                <w:szCs w:val="21"/>
              </w:rPr>
              <w:t>.</w:t>
            </w:r>
            <w:r>
              <w:rPr>
                <w:rFonts w:hint="default" w:ascii="Times New Roman" w:hAnsi="Times New Roman" w:cs="Times New Roman"/>
                <w:bCs/>
                <w:color w:val="000000"/>
                <w:szCs w:val="21"/>
                <w:lang w:val="en-US" w:eastAsia="zh-CN"/>
              </w:rPr>
              <w:t>14</w:t>
            </w:r>
          </w:p>
        </w:tc>
        <w:tc>
          <w:tcPr>
            <w:tcW w:w="1966" w:type="pct"/>
            <w:vAlign w:val="center"/>
          </w:tcPr>
          <w:p>
            <w:pPr>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西厂界</w:t>
            </w:r>
          </w:p>
        </w:tc>
        <w:tc>
          <w:tcPr>
            <w:tcW w:w="1944" w:type="pct"/>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jc w:val="center"/>
              <w:rPr>
                <w:rFonts w:hint="default" w:ascii="Times New Roman" w:hAnsi="Times New Roman" w:cs="Times New Roman"/>
                <w:color w:val="000000"/>
                <w:szCs w:val="21"/>
              </w:rPr>
            </w:pPr>
            <w:r>
              <w:rPr>
                <w:rFonts w:hint="default" w:ascii="Times New Roman" w:hAnsi="Times New Roman" w:cs="Times New Roman"/>
                <w:bCs/>
                <w:color w:val="000000"/>
                <w:szCs w:val="21"/>
              </w:rPr>
              <w:t>202</w:t>
            </w:r>
            <w:r>
              <w:rPr>
                <w:rFonts w:hint="default" w:ascii="Times New Roman" w:hAnsi="Times New Roman" w:cs="Times New Roman"/>
                <w:bCs/>
                <w:color w:val="000000"/>
                <w:szCs w:val="21"/>
                <w:lang w:val="en-US" w:eastAsia="zh-CN"/>
              </w:rPr>
              <w:t>3</w:t>
            </w:r>
            <w:r>
              <w:rPr>
                <w:rFonts w:hint="default" w:ascii="Times New Roman" w:hAnsi="Times New Roman" w:cs="Times New Roman"/>
                <w:bCs/>
                <w:color w:val="000000"/>
                <w:szCs w:val="21"/>
              </w:rPr>
              <w:t>.</w:t>
            </w:r>
            <w:r>
              <w:rPr>
                <w:rFonts w:hint="default" w:ascii="Times New Roman" w:hAnsi="Times New Roman" w:cs="Times New Roman"/>
                <w:bCs/>
                <w:color w:val="000000"/>
                <w:szCs w:val="21"/>
                <w:lang w:val="en-US" w:eastAsia="zh-CN"/>
              </w:rPr>
              <w:t>8</w:t>
            </w:r>
            <w:r>
              <w:rPr>
                <w:rFonts w:hint="default" w:ascii="Times New Roman" w:hAnsi="Times New Roman" w:cs="Times New Roman"/>
                <w:bCs/>
                <w:color w:val="000000"/>
                <w:szCs w:val="21"/>
              </w:rPr>
              <w:t>.</w:t>
            </w:r>
            <w:r>
              <w:rPr>
                <w:rFonts w:hint="default" w:ascii="Times New Roman" w:hAnsi="Times New Roman" w:cs="Times New Roman"/>
                <w:bCs/>
                <w:color w:val="000000"/>
                <w:szCs w:val="21"/>
                <w:lang w:val="en-US" w:eastAsia="zh-CN"/>
              </w:rPr>
              <w:t>15</w:t>
            </w:r>
          </w:p>
        </w:tc>
        <w:tc>
          <w:tcPr>
            <w:tcW w:w="1966" w:type="pct"/>
            <w:vAlign w:val="center"/>
          </w:tcPr>
          <w:p>
            <w:pPr>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西厂界</w:t>
            </w:r>
          </w:p>
        </w:tc>
        <w:tc>
          <w:tcPr>
            <w:tcW w:w="1944" w:type="pct"/>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标准值</w:t>
            </w:r>
          </w:p>
        </w:tc>
        <w:tc>
          <w:tcPr>
            <w:tcW w:w="3910" w:type="pct"/>
            <w:gridSpan w:val="2"/>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昼间≤65；</w:t>
            </w:r>
          </w:p>
        </w:tc>
      </w:tr>
    </w:tbl>
    <w:p>
      <w:pPr>
        <w:adjustRightInd w:val="0"/>
        <w:snapToGrid w:val="0"/>
        <w:spacing w:line="500" w:lineRule="exact"/>
        <w:ind w:firstLine="480" w:firstLineChars="200"/>
        <w:outlineLvl w:val="2"/>
        <w:rPr>
          <w:rFonts w:hint="default" w:ascii="Times New Roman" w:hAnsi="Times New Roman" w:cs="Times New Roman"/>
          <w:sz w:val="24"/>
          <w:szCs w:val="24"/>
        </w:rPr>
      </w:pPr>
      <w:r>
        <w:rPr>
          <w:rFonts w:hint="default" w:ascii="Times New Roman" w:hAnsi="Times New Roman" w:cs="Times New Roman"/>
          <w:sz w:val="24"/>
          <w:szCs w:val="24"/>
        </w:rPr>
        <w:t>由上表</w:t>
      </w:r>
      <w:r>
        <w:rPr>
          <w:rFonts w:hint="default" w:ascii="Times New Roman" w:hAnsi="Times New Roman" w:cs="Times New Roman"/>
          <w:bCs/>
          <w:snapToGrid w:val="0"/>
          <w:kern w:val="36"/>
          <w:sz w:val="24"/>
          <w:szCs w:val="24"/>
        </w:rPr>
        <w:t>噪声检测结果</w:t>
      </w:r>
      <w:r>
        <w:rPr>
          <w:rFonts w:hint="default" w:ascii="Times New Roman" w:hAnsi="Times New Roman" w:cs="Times New Roman"/>
          <w:sz w:val="24"/>
          <w:szCs w:val="24"/>
        </w:rPr>
        <w:t>可知，该项目昼间、夜间厂界噪声检测结果均符合《工业企业厂界环境噪声排放标准》</w:t>
      </w:r>
      <w:r>
        <w:rPr>
          <w:rFonts w:hint="default" w:ascii="Times New Roman" w:hAnsi="Times New Roman" w:cs="Times New Roman"/>
          <w:bCs/>
          <w:snapToGrid w:val="0"/>
          <w:kern w:val="36"/>
          <w:sz w:val="24"/>
          <w:szCs w:val="24"/>
        </w:rPr>
        <w:t>（GB12348-2008）3</w:t>
      </w:r>
      <w:r>
        <w:rPr>
          <w:rFonts w:hint="default" w:ascii="Times New Roman" w:hAnsi="Times New Roman" w:cs="Times New Roman"/>
          <w:sz w:val="24"/>
          <w:szCs w:val="24"/>
        </w:rPr>
        <w:t>类标准中相应限值的要求。</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9.2.1.3 污染物排放总量核算</w:t>
      </w:r>
    </w:p>
    <w:p>
      <w:pPr>
        <w:pStyle w:val="65"/>
        <w:spacing w:line="500" w:lineRule="exact"/>
        <w:ind w:firstLine="480"/>
        <w:rPr>
          <w:rFonts w:hint="default" w:ascii="Times New Roman" w:hAnsi="Times New Roman" w:cs="Times New Roman"/>
          <w:color w:val="000000"/>
          <w:szCs w:val="24"/>
        </w:rPr>
      </w:pPr>
      <w:r>
        <w:rPr>
          <w:rFonts w:hint="default" w:ascii="Times New Roman" w:hAnsi="Times New Roman" w:cs="Times New Roman"/>
          <w:color w:val="000000"/>
          <w:szCs w:val="24"/>
        </w:rPr>
        <w:t>项目无废气总量控制指标，废水总量控制指标涉及化学需氧量、氨氮。</w:t>
      </w:r>
    </w:p>
    <w:p>
      <w:pPr>
        <w:pStyle w:val="65"/>
        <w:spacing w:line="500" w:lineRule="exact"/>
        <w:ind w:firstLine="480"/>
        <w:rPr>
          <w:rFonts w:hint="default" w:ascii="Times New Roman" w:hAnsi="Times New Roman" w:cs="Times New Roman"/>
          <w:color w:val="000000"/>
          <w:szCs w:val="24"/>
        </w:rPr>
      </w:pPr>
      <w:r>
        <w:rPr>
          <w:rFonts w:hint="default" w:ascii="Times New Roman" w:hAnsi="Times New Roman" w:cs="Times New Roman"/>
          <w:color w:val="000000"/>
          <w:szCs w:val="24"/>
        </w:rPr>
        <w:t>项目废水主要污染物化学需氧量、氨氮排放总量核算表见表9.2-5。</w:t>
      </w:r>
    </w:p>
    <w:p>
      <w:pPr>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表9.2-5         项目废水污染物排放总量核算表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143"/>
        <w:gridCol w:w="942"/>
        <w:gridCol w:w="1196"/>
        <w:gridCol w:w="153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1" w:type="pct"/>
            <w:vMerge w:val="restart"/>
            <w:vAlign w:val="center"/>
          </w:tcPr>
          <w:p>
            <w:pPr>
              <w:adjustRightInd w:val="0"/>
              <w:snapToGrid w:val="0"/>
              <w:spacing w:line="360" w:lineRule="exact"/>
              <w:jc w:val="center"/>
              <w:rPr>
                <w:rFonts w:hint="default" w:ascii="Times New Roman" w:hAnsi="Times New Roman" w:cs="Times New Roman"/>
                <w:color w:val="000000"/>
                <w:szCs w:val="21"/>
              </w:rPr>
            </w:pPr>
            <w:r>
              <w:rPr>
                <w:rFonts w:hint="default" w:ascii="Times New Roman" w:hAnsi="Times New Roman" w:cs="Times New Roman"/>
                <w:bCs/>
                <w:color w:val="000000"/>
                <w:szCs w:val="21"/>
              </w:rPr>
              <w:t>项目</w:t>
            </w:r>
          </w:p>
        </w:tc>
        <w:tc>
          <w:tcPr>
            <w:tcW w:w="1926" w:type="pct"/>
            <w:gridSpan w:val="3"/>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环评报告中总量控制指标</w:t>
            </w:r>
          </w:p>
        </w:tc>
        <w:tc>
          <w:tcPr>
            <w:tcW w:w="2013" w:type="pct"/>
            <w:gridSpan w:val="2"/>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项目实排放总量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61" w:type="pct"/>
            <w:vMerge w:val="continue"/>
            <w:vAlign w:val="center"/>
          </w:tcPr>
          <w:p>
            <w:pPr>
              <w:adjustRightInd w:val="0"/>
              <w:snapToGrid w:val="0"/>
              <w:spacing w:line="360" w:lineRule="exact"/>
              <w:jc w:val="center"/>
              <w:rPr>
                <w:rFonts w:hint="default" w:ascii="Times New Roman" w:hAnsi="Times New Roman" w:cs="Times New Roman"/>
                <w:bCs/>
                <w:color w:val="000000"/>
                <w:szCs w:val="21"/>
              </w:rPr>
            </w:pPr>
          </w:p>
        </w:tc>
        <w:tc>
          <w:tcPr>
            <w:tcW w:w="67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现有工程</w:t>
            </w:r>
          </w:p>
        </w:tc>
        <w:tc>
          <w:tcPr>
            <w:tcW w:w="553"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本项目</w:t>
            </w:r>
          </w:p>
        </w:tc>
        <w:tc>
          <w:tcPr>
            <w:tcW w:w="7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全厂</w:t>
            </w:r>
          </w:p>
        </w:tc>
        <w:tc>
          <w:tcPr>
            <w:tcW w:w="9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现有工程</w:t>
            </w:r>
          </w:p>
        </w:tc>
        <w:tc>
          <w:tcPr>
            <w:tcW w:w="111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6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废水量（m</w:t>
            </w:r>
            <w:r>
              <w:rPr>
                <w:rFonts w:hint="default" w:ascii="Times New Roman" w:hAnsi="Times New Roman" w:cs="Times New Roman"/>
                <w:bCs/>
                <w:color w:val="000000"/>
                <w:szCs w:val="21"/>
                <w:vertAlign w:val="superscript"/>
              </w:rPr>
              <w:t>3</w:t>
            </w:r>
            <w:r>
              <w:rPr>
                <w:rFonts w:hint="default" w:ascii="Times New Roman" w:hAnsi="Times New Roman" w:cs="Times New Roman"/>
                <w:bCs/>
                <w:color w:val="000000"/>
                <w:szCs w:val="21"/>
              </w:rPr>
              <w:t>/a）</w:t>
            </w:r>
          </w:p>
        </w:tc>
        <w:tc>
          <w:tcPr>
            <w:tcW w:w="67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1500</w:t>
            </w:r>
          </w:p>
        </w:tc>
        <w:tc>
          <w:tcPr>
            <w:tcW w:w="553"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6980</w:t>
            </w:r>
          </w:p>
        </w:tc>
        <w:tc>
          <w:tcPr>
            <w:tcW w:w="7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8480</w:t>
            </w:r>
          </w:p>
        </w:tc>
        <w:tc>
          <w:tcPr>
            <w:tcW w:w="9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1500</w:t>
            </w:r>
          </w:p>
        </w:tc>
        <w:tc>
          <w:tcPr>
            <w:tcW w:w="111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COD（t/a）</w:t>
            </w:r>
          </w:p>
        </w:tc>
        <w:tc>
          <w:tcPr>
            <w:tcW w:w="671"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0.06</w:t>
            </w:r>
          </w:p>
        </w:tc>
        <w:tc>
          <w:tcPr>
            <w:tcW w:w="553"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0.2792</w:t>
            </w:r>
          </w:p>
        </w:tc>
        <w:tc>
          <w:tcPr>
            <w:tcW w:w="7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0.3392</w:t>
            </w:r>
          </w:p>
        </w:tc>
        <w:tc>
          <w:tcPr>
            <w:tcW w:w="902"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0.06</w:t>
            </w:r>
          </w:p>
        </w:tc>
        <w:tc>
          <w:tcPr>
            <w:tcW w:w="1111"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氨氮（t/a）</w:t>
            </w:r>
          </w:p>
        </w:tc>
        <w:tc>
          <w:tcPr>
            <w:tcW w:w="671"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0.0045</w:t>
            </w:r>
          </w:p>
        </w:tc>
        <w:tc>
          <w:tcPr>
            <w:tcW w:w="553"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0.0177</w:t>
            </w:r>
          </w:p>
        </w:tc>
        <w:tc>
          <w:tcPr>
            <w:tcW w:w="7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0.0254</w:t>
            </w:r>
          </w:p>
        </w:tc>
        <w:tc>
          <w:tcPr>
            <w:tcW w:w="902"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0.0045</w:t>
            </w:r>
          </w:p>
        </w:tc>
        <w:tc>
          <w:tcPr>
            <w:tcW w:w="1111"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0.0177</w:t>
            </w:r>
          </w:p>
        </w:tc>
      </w:tr>
    </w:tbl>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由上表可知，项目实际生产过程中化学需氧量排放总量为0.2792t/a，</w:t>
      </w:r>
      <w:r>
        <w:rPr>
          <w:rFonts w:hint="default" w:ascii="Times New Roman" w:hAnsi="Times New Roman" w:cs="Times New Roman"/>
          <w:bCs/>
          <w:color w:val="000000"/>
          <w:sz w:val="24"/>
          <w:szCs w:val="24"/>
        </w:rPr>
        <w:t>氨氮</w:t>
      </w:r>
      <w:r>
        <w:rPr>
          <w:rFonts w:hint="default" w:ascii="Times New Roman" w:hAnsi="Times New Roman" w:cs="Times New Roman"/>
          <w:color w:val="000000"/>
          <w:sz w:val="24"/>
          <w:szCs w:val="24"/>
        </w:rPr>
        <w:t>排放总量为0.0177t/a，均满足本项目污染物排放总量控制指标的批复要求。</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9.2.2 环保设施去除效率监测结果</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bookmarkStart w:id="37" w:name="_Toc20270"/>
      <w:r>
        <w:rPr>
          <w:rFonts w:hint="default" w:ascii="Times New Roman" w:hAnsi="Times New Roman" w:cs="Times New Roman"/>
          <w:color w:val="000000"/>
          <w:sz w:val="24"/>
          <w:szCs w:val="24"/>
        </w:rPr>
        <w:t>9.2.2.1 废气治理措施</w:t>
      </w:r>
    </w:p>
    <w:p>
      <w:pPr>
        <w:spacing w:line="520" w:lineRule="exact"/>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rPr>
        <w:t>项目</w:t>
      </w:r>
      <w:r>
        <w:rPr>
          <w:rFonts w:hint="default" w:ascii="Times New Roman" w:hAnsi="Times New Roman" w:cs="Times New Roman"/>
          <w:sz w:val="24"/>
          <w:szCs w:val="21"/>
        </w:rPr>
        <w:t>产生的氨经</w:t>
      </w:r>
      <w:r>
        <w:rPr>
          <w:rFonts w:hint="default" w:ascii="Times New Roman" w:hAnsi="Times New Roman" w:cs="Times New Roman"/>
          <w:sz w:val="24"/>
          <w:szCs w:val="21"/>
          <w:lang w:eastAsia="zh-CN"/>
        </w:rPr>
        <w:t>酸雾</w:t>
      </w:r>
      <w:r>
        <w:rPr>
          <w:rFonts w:hint="default" w:ascii="Times New Roman" w:hAnsi="Times New Roman" w:cs="Times New Roman"/>
          <w:sz w:val="24"/>
          <w:szCs w:val="21"/>
        </w:rPr>
        <w:t>喷淋塔吸收后</w:t>
      </w:r>
      <w:r>
        <w:rPr>
          <w:rFonts w:hint="default" w:ascii="Times New Roman" w:hAnsi="Times New Roman" w:cs="Times New Roman"/>
          <w:color w:val="000000"/>
          <w:sz w:val="24"/>
        </w:rPr>
        <w:t>，氨有组织</w:t>
      </w:r>
      <w:r>
        <w:rPr>
          <w:rFonts w:hint="default" w:ascii="Times New Roman" w:hAnsi="Times New Roman" w:cs="Times New Roman"/>
          <w:bCs/>
          <w:sz w:val="24"/>
          <w:szCs w:val="24"/>
        </w:rPr>
        <w:t>排放速率满足</w:t>
      </w:r>
      <w:r>
        <w:rPr>
          <w:rFonts w:hint="default" w:ascii="Times New Roman" w:hAnsi="Times New Roman" w:cs="Times New Roman"/>
          <w:sz w:val="24"/>
          <w:szCs w:val="24"/>
        </w:rPr>
        <w:t>《</w:t>
      </w:r>
      <w:r>
        <w:rPr>
          <w:rFonts w:hint="default" w:ascii="Times New Roman" w:hAnsi="Times New Roman" w:cs="Times New Roman" w:eastAsiaTheme="minorEastAsia"/>
          <w:sz w:val="24"/>
          <w:szCs w:val="24"/>
        </w:rPr>
        <w:t>恶臭污染物排放标准</w:t>
      </w:r>
      <w:r>
        <w:rPr>
          <w:rFonts w:hint="default" w:ascii="Times New Roman" w:hAnsi="Times New Roman" w:cs="Times New Roman"/>
          <w:sz w:val="24"/>
          <w:szCs w:val="24"/>
        </w:rPr>
        <w:t>》</w:t>
      </w:r>
      <w:r>
        <w:rPr>
          <w:rFonts w:hint="default" w:ascii="Times New Roman" w:hAnsi="Times New Roman" w:cs="Times New Roman"/>
          <w:bCs/>
          <w:sz w:val="24"/>
          <w:szCs w:val="24"/>
        </w:rPr>
        <w:t>（GB14554-1993），氨去除率为</w:t>
      </w:r>
      <w:r>
        <w:rPr>
          <w:rFonts w:hint="default" w:ascii="Times New Roman" w:hAnsi="Times New Roman" w:cs="Times New Roman"/>
          <w:bCs/>
          <w:sz w:val="24"/>
          <w:szCs w:val="24"/>
          <w:lang w:val="en-US" w:eastAsia="zh-CN"/>
        </w:rPr>
        <w:t>83.9</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84.1</w:t>
      </w:r>
      <w:r>
        <w:rPr>
          <w:rFonts w:hint="default" w:ascii="Times New Roman" w:hAnsi="Times New Roman" w:cs="Times New Roman"/>
          <w:bCs/>
          <w:sz w:val="24"/>
          <w:szCs w:val="24"/>
        </w:rPr>
        <w:t>%；项目产生的硫酸雾、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rPr>
        <w:t>经酸雾喷淋塔吸收后，硫酸雾、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color w:val="000000"/>
          <w:sz w:val="24"/>
        </w:rPr>
        <w:t>有组织</w:t>
      </w:r>
      <w:r>
        <w:rPr>
          <w:rFonts w:hint="default" w:ascii="Times New Roman" w:hAnsi="Times New Roman" w:cs="Times New Roman"/>
          <w:bCs/>
          <w:sz w:val="24"/>
          <w:szCs w:val="24"/>
        </w:rPr>
        <w:t>排放浓度及排放速率均满足《大气污染物综合排放标准》（GB16297-1996）表2中二级标准，硫酸雾去除率为</w:t>
      </w:r>
      <w:r>
        <w:rPr>
          <w:rFonts w:hint="default" w:ascii="Times New Roman" w:hAnsi="Times New Roman" w:cs="Times New Roman"/>
          <w:bCs/>
          <w:sz w:val="24"/>
          <w:szCs w:val="24"/>
          <w:lang w:val="en-US" w:eastAsia="zh-CN"/>
        </w:rPr>
        <w:t>77.5</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77</w:t>
      </w:r>
      <w:r>
        <w:rPr>
          <w:rFonts w:hint="default" w:ascii="Times New Roman" w:hAnsi="Times New Roman" w:cs="Times New Roman"/>
          <w:bCs/>
          <w:sz w:val="24"/>
          <w:szCs w:val="24"/>
        </w:rPr>
        <w:t>.6%，</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highlight w:val="none"/>
        </w:rPr>
        <w:t>去除率</w:t>
      </w:r>
      <w:r>
        <w:rPr>
          <w:rFonts w:hint="eastAsia" w:ascii="Times New Roman" w:hAnsi="Times New Roman" w:cs="Times New Roman"/>
          <w:bCs/>
          <w:sz w:val="24"/>
          <w:szCs w:val="24"/>
          <w:highlight w:val="none"/>
          <w:lang w:eastAsia="zh-CN"/>
        </w:rPr>
        <w:t>约</w:t>
      </w:r>
      <w:r>
        <w:rPr>
          <w:rFonts w:hint="default" w:ascii="Times New Roman" w:hAnsi="Times New Roman" w:cs="Times New Roman"/>
          <w:bCs/>
          <w:sz w:val="24"/>
          <w:szCs w:val="24"/>
          <w:highlight w:val="none"/>
        </w:rPr>
        <w:t>为6</w:t>
      </w:r>
      <w:r>
        <w:rPr>
          <w:rFonts w:hint="eastAsia" w:ascii="Times New Roman" w:hAnsi="Times New Roman" w:cs="Times New Roman"/>
          <w:bCs/>
          <w:sz w:val="24"/>
          <w:szCs w:val="24"/>
          <w:highlight w:val="none"/>
          <w:lang w:val="en-US" w:eastAsia="zh-CN"/>
        </w:rPr>
        <w:t>1.1</w:t>
      </w:r>
      <w:r>
        <w:rPr>
          <w:rFonts w:hint="default" w:ascii="Times New Roman" w:hAnsi="Times New Roman" w:cs="Times New Roman"/>
          <w:bCs/>
          <w:sz w:val="24"/>
          <w:szCs w:val="24"/>
          <w:highlight w:val="none"/>
        </w:rPr>
        <w:t>%</w:t>
      </w:r>
      <w:r>
        <w:rPr>
          <w:rFonts w:hint="default" w:ascii="Times New Roman" w:hAnsi="Times New Roman" w:cs="Times New Roman"/>
          <w:bCs/>
          <w:sz w:val="24"/>
          <w:szCs w:val="24"/>
          <w:highlight w:val="none"/>
        </w:rPr>
        <w:t>。</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9.2.2.1 废水治理措施</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项目</w:t>
      </w:r>
      <w:r>
        <w:rPr>
          <w:rFonts w:hint="default" w:ascii="Times New Roman" w:hAnsi="Times New Roman" w:cs="Times New Roman"/>
          <w:color w:val="000000"/>
          <w:sz w:val="24"/>
          <w:lang w:eastAsia="zh-CN"/>
        </w:rPr>
        <w:t>生产经中和处理后返回摇床工序循环使用不外排；生活污水经</w:t>
      </w:r>
      <w:r>
        <w:rPr>
          <w:rFonts w:hint="default" w:ascii="Times New Roman" w:hAnsi="Times New Roman" w:cs="Times New Roman"/>
          <w:color w:val="000000"/>
          <w:sz w:val="24"/>
        </w:rPr>
        <w:t>厂区</w:t>
      </w:r>
      <w:r>
        <w:rPr>
          <w:rFonts w:hint="default" w:ascii="Times New Roman" w:hAnsi="Times New Roman" w:cs="Times New Roman"/>
          <w:color w:val="000000"/>
          <w:sz w:val="24"/>
          <w:lang w:eastAsia="zh-CN"/>
        </w:rPr>
        <w:t>化粪池</w:t>
      </w:r>
      <w:r>
        <w:rPr>
          <w:rFonts w:hint="default" w:ascii="Times New Roman" w:hAnsi="Times New Roman" w:cs="Times New Roman"/>
          <w:color w:val="000000"/>
          <w:sz w:val="24"/>
        </w:rPr>
        <w:t>处理后</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由监测结果可知，</w:t>
      </w:r>
      <w:r>
        <w:rPr>
          <w:rFonts w:hint="default" w:ascii="Times New Roman" w:hAnsi="Times New Roman" w:cs="Times New Roman"/>
          <w:color w:val="000000"/>
          <w:sz w:val="24"/>
          <w:lang w:eastAsia="zh-CN"/>
        </w:rPr>
        <w:t>出水</w:t>
      </w:r>
      <w:r>
        <w:rPr>
          <w:rFonts w:hint="default" w:ascii="Times New Roman" w:hAnsi="Times New Roman" w:cs="Times New Roman"/>
          <w:color w:val="000000"/>
          <w:sz w:val="24"/>
        </w:rPr>
        <w:t>水质满足《污水综合排放标准》（GB8978-1996）表4</w:t>
      </w:r>
      <w:r>
        <w:rPr>
          <w:rFonts w:hint="default" w:ascii="Times New Roman" w:hAnsi="Times New Roman" w:cs="Times New Roman"/>
          <w:color w:val="000000"/>
          <w:sz w:val="24"/>
          <w:lang w:eastAsia="zh-CN"/>
        </w:rPr>
        <w:t>三</w:t>
      </w:r>
      <w:r>
        <w:rPr>
          <w:rFonts w:hint="default" w:ascii="Times New Roman" w:hAnsi="Times New Roman" w:cs="Times New Roman"/>
          <w:color w:val="000000"/>
          <w:sz w:val="24"/>
        </w:rPr>
        <w:t>级标准要求。</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p>
    <w:p>
      <w:pPr>
        <w:tabs>
          <w:tab w:val="left" w:pos="1260"/>
        </w:tabs>
        <w:overflowPunct w:val="0"/>
        <w:adjustRightInd w:val="0"/>
        <w:snapToGrid w:val="0"/>
        <w:spacing w:line="520" w:lineRule="exact"/>
        <w:ind w:firstLine="480" w:firstLineChars="200"/>
        <w:jc w:val="left"/>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rPr>
      </w:pPr>
    </w:p>
    <w:p>
      <w:pPr>
        <w:pStyle w:val="2"/>
        <w:rPr>
          <w:rFonts w:hint="default" w:ascii="Times New Roman" w:hAnsi="Times New Roman" w:cs="Times New Roman"/>
          <w:sz w:val="24"/>
          <w:szCs w:val="24"/>
        </w:rPr>
      </w:pPr>
    </w:p>
    <w:p>
      <w:pPr>
        <w:pStyle w:val="4"/>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4"/>
        <w:rPr>
          <w:rFonts w:hint="default" w:ascii="Times New Roman" w:hAnsi="Times New Roman" w:cs="Times New Roman"/>
        </w:rPr>
      </w:pPr>
    </w:p>
    <w:p>
      <w:pPr>
        <w:spacing w:afterLines="50" w:line="50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10、验收监测结论</w:t>
      </w:r>
      <w:bookmarkEnd w:id="37"/>
    </w:p>
    <w:p>
      <w:pPr>
        <w:tabs>
          <w:tab w:val="left" w:pos="4050"/>
        </w:tabs>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bCs/>
          <w:sz w:val="24"/>
          <w:szCs w:val="24"/>
        </w:rPr>
        <w:t>10.1环境保护设施调试效果</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10.1.1 废气监测达标情况</w:t>
      </w:r>
    </w:p>
    <w:p>
      <w:pPr>
        <w:spacing w:line="520" w:lineRule="exact"/>
        <w:ind w:firstLine="480" w:firstLineChars="200"/>
        <w:rPr>
          <w:rFonts w:hint="default" w:ascii="Times New Roman" w:hAnsi="Times New Roman" w:cs="Times New Roman"/>
          <w:bCs/>
          <w:sz w:val="24"/>
          <w:szCs w:val="24"/>
        </w:rPr>
      </w:pPr>
      <w:r>
        <w:rPr>
          <w:rFonts w:hint="default" w:ascii="Times New Roman" w:hAnsi="Times New Roman" w:cs="Times New Roman"/>
          <w:color w:val="000000"/>
          <w:sz w:val="24"/>
        </w:rPr>
        <w:t>由监测结果可知，</w:t>
      </w:r>
      <w:r>
        <w:rPr>
          <w:rFonts w:hint="default" w:ascii="Times New Roman" w:hAnsi="Times New Roman" w:cs="Times New Roman"/>
          <w:bCs/>
          <w:sz w:val="24"/>
          <w:szCs w:val="24"/>
        </w:rPr>
        <w:t>项目</w:t>
      </w:r>
      <w:r>
        <w:rPr>
          <w:rFonts w:hint="default" w:ascii="Times New Roman" w:hAnsi="Times New Roman" w:cs="Times New Roman"/>
          <w:sz w:val="24"/>
          <w:szCs w:val="21"/>
        </w:rPr>
        <w:t>产生的氨经</w:t>
      </w:r>
      <w:r>
        <w:rPr>
          <w:rFonts w:hint="default" w:ascii="Times New Roman" w:hAnsi="Times New Roman" w:cs="Times New Roman"/>
          <w:sz w:val="24"/>
          <w:szCs w:val="21"/>
          <w:lang w:eastAsia="zh-CN"/>
        </w:rPr>
        <w:t>酸雾</w:t>
      </w:r>
      <w:r>
        <w:rPr>
          <w:rFonts w:hint="default" w:ascii="Times New Roman" w:hAnsi="Times New Roman" w:cs="Times New Roman"/>
          <w:sz w:val="24"/>
          <w:szCs w:val="21"/>
        </w:rPr>
        <w:t>喷淋塔吸收后</w:t>
      </w:r>
      <w:r>
        <w:rPr>
          <w:rFonts w:hint="default" w:ascii="Times New Roman" w:hAnsi="Times New Roman" w:cs="Times New Roman"/>
          <w:color w:val="000000"/>
          <w:sz w:val="24"/>
        </w:rPr>
        <w:t>，氨有组织</w:t>
      </w:r>
      <w:r>
        <w:rPr>
          <w:rFonts w:hint="default" w:ascii="Times New Roman" w:hAnsi="Times New Roman" w:cs="Times New Roman"/>
          <w:bCs/>
          <w:sz w:val="24"/>
          <w:szCs w:val="24"/>
        </w:rPr>
        <w:t>排放速率满足</w:t>
      </w:r>
      <w:r>
        <w:rPr>
          <w:rFonts w:hint="default" w:ascii="Times New Roman" w:hAnsi="Times New Roman" w:cs="Times New Roman"/>
          <w:sz w:val="24"/>
          <w:szCs w:val="24"/>
        </w:rPr>
        <w:t>《</w:t>
      </w:r>
      <w:r>
        <w:rPr>
          <w:rFonts w:hint="default" w:ascii="Times New Roman" w:hAnsi="Times New Roman" w:cs="Times New Roman" w:eastAsiaTheme="minorEastAsia"/>
          <w:sz w:val="24"/>
          <w:szCs w:val="24"/>
        </w:rPr>
        <w:t>恶臭污染物排放标准</w:t>
      </w:r>
      <w:r>
        <w:rPr>
          <w:rFonts w:hint="default" w:ascii="Times New Roman" w:hAnsi="Times New Roman" w:cs="Times New Roman"/>
          <w:sz w:val="24"/>
          <w:szCs w:val="24"/>
        </w:rPr>
        <w:t>》</w:t>
      </w:r>
      <w:r>
        <w:rPr>
          <w:rFonts w:hint="default" w:ascii="Times New Roman" w:hAnsi="Times New Roman" w:cs="Times New Roman"/>
          <w:bCs/>
          <w:sz w:val="24"/>
          <w:szCs w:val="24"/>
        </w:rPr>
        <w:t>（GB14554-1993），氨去除率为</w:t>
      </w:r>
      <w:r>
        <w:rPr>
          <w:rFonts w:hint="default" w:ascii="Times New Roman" w:hAnsi="Times New Roman" w:cs="Times New Roman"/>
          <w:bCs/>
          <w:sz w:val="24"/>
          <w:szCs w:val="24"/>
          <w:lang w:val="en-US" w:eastAsia="zh-CN"/>
        </w:rPr>
        <w:t>83.9</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84.1</w:t>
      </w:r>
      <w:r>
        <w:rPr>
          <w:rFonts w:hint="default" w:ascii="Times New Roman" w:hAnsi="Times New Roman" w:cs="Times New Roman"/>
          <w:bCs/>
          <w:sz w:val="24"/>
          <w:szCs w:val="24"/>
        </w:rPr>
        <w:t>%；项目产生的硫酸雾、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rPr>
        <w:t>经酸雾喷淋塔吸收后，硫酸雾、</w:t>
      </w:r>
      <w:r>
        <w:rPr>
          <w:rFonts w:hint="default" w:ascii="Times New Roman" w:hAnsi="Times New Roman" w:cs="Times New Roman"/>
          <w:bCs/>
          <w:sz w:val="24"/>
          <w:szCs w:val="24"/>
          <w:lang w:val="en-US" w:eastAsia="zh-CN"/>
        </w:rPr>
        <w:t>氮氧化物</w:t>
      </w:r>
      <w:r>
        <w:rPr>
          <w:rFonts w:hint="default" w:ascii="Times New Roman" w:hAnsi="Times New Roman" w:cs="Times New Roman"/>
          <w:color w:val="000000"/>
          <w:sz w:val="24"/>
        </w:rPr>
        <w:t>有组织</w:t>
      </w:r>
      <w:r>
        <w:rPr>
          <w:rFonts w:hint="default" w:ascii="Times New Roman" w:hAnsi="Times New Roman" w:cs="Times New Roman"/>
          <w:bCs/>
          <w:sz w:val="24"/>
          <w:szCs w:val="24"/>
        </w:rPr>
        <w:t>排放浓度及排放速率均满足《大气污染物综合排放标准》（GB16297-1996）表2中二级标准，硫酸雾去除率为</w:t>
      </w:r>
      <w:r>
        <w:rPr>
          <w:rFonts w:hint="default" w:ascii="Times New Roman" w:hAnsi="Times New Roman" w:cs="Times New Roman"/>
          <w:bCs/>
          <w:sz w:val="24"/>
          <w:szCs w:val="24"/>
          <w:lang w:val="en-US" w:eastAsia="zh-CN"/>
        </w:rPr>
        <w:t>77.5</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77</w:t>
      </w:r>
      <w:r>
        <w:rPr>
          <w:rFonts w:hint="default" w:ascii="Times New Roman" w:hAnsi="Times New Roman" w:cs="Times New Roman"/>
          <w:bCs/>
          <w:sz w:val="24"/>
          <w:szCs w:val="24"/>
        </w:rPr>
        <w:t>.6%，</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highlight w:val="none"/>
        </w:rPr>
        <w:t>去除率</w:t>
      </w:r>
      <w:r>
        <w:rPr>
          <w:rFonts w:hint="eastAsia" w:ascii="Times New Roman" w:hAnsi="Times New Roman" w:cs="Times New Roman"/>
          <w:bCs/>
          <w:sz w:val="24"/>
          <w:szCs w:val="24"/>
          <w:highlight w:val="none"/>
          <w:lang w:eastAsia="zh-CN"/>
        </w:rPr>
        <w:t>约</w:t>
      </w:r>
      <w:r>
        <w:rPr>
          <w:rFonts w:hint="default" w:ascii="Times New Roman" w:hAnsi="Times New Roman" w:cs="Times New Roman"/>
          <w:bCs/>
          <w:sz w:val="24"/>
          <w:szCs w:val="24"/>
          <w:highlight w:val="none"/>
        </w:rPr>
        <w:t>为6</w:t>
      </w:r>
      <w:r>
        <w:rPr>
          <w:rFonts w:hint="eastAsia" w:ascii="Times New Roman" w:hAnsi="Times New Roman" w:cs="Times New Roman"/>
          <w:bCs/>
          <w:sz w:val="24"/>
          <w:szCs w:val="24"/>
          <w:highlight w:val="none"/>
          <w:lang w:val="en-US" w:eastAsia="zh-CN"/>
        </w:rPr>
        <w:t>1.1</w:t>
      </w:r>
      <w:r>
        <w:rPr>
          <w:rFonts w:hint="default" w:ascii="Times New Roman" w:hAnsi="Times New Roman" w:cs="Times New Roman"/>
          <w:bCs/>
          <w:sz w:val="24"/>
          <w:szCs w:val="24"/>
          <w:highlight w:val="none"/>
        </w:rPr>
        <w:t>%</w:t>
      </w:r>
      <w:bookmarkStart w:id="40" w:name="_GoBack"/>
      <w:bookmarkEnd w:id="40"/>
      <w:r>
        <w:rPr>
          <w:rFonts w:hint="default" w:ascii="Times New Roman" w:hAnsi="Times New Roman" w:cs="Times New Roman"/>
          <w:bCs/>
          <w:sz w:val="24"/>
          <w:szCs w:val="24"/>
          <w:highlight w:val="none"/>
        </w:rPr>
        <w:t>。</w:t>
      </w:r>
    </w:p>
    <w:p>
      <w:pPr>
        <w:pStyle w:val="41"/>
        <w:spacing w:after="0" w:line="520" w:lineRule="exact"/>
        <w:ind w:left="0" w:leftChars="0" w:firstLine="480"/>
        <w:rPr>
          <w:rFonts w:hint="default" w:ascii="Times New Roman" w:hAnsi="Times New Roman" w:cs="Times New Roman"/>
          <w:sz w:val="40"/>
        </w:rPr>
      </w:pPr>
      <w:r>
        <w:rPr>
          <w:rFonts w:hint="default" w:ascii="Times New Roman" w:hAnsi="Times New Roman" w:cs="Times New Roman"/>
          <w:sz w:val="24"/>
        </w:rPr>
        <w:t>本项目厂界无组织排放废气颗粒物满足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default"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r>
        <w:rPr>
          <w:rFonts w:hint="default" w:ascii="Times New Roman" w:hAnsi="Times New Roman" w:cs="Times New Roman"/>
          <w:sz w:val="24"/>
        </w:rPr>
        <w:t>氨无组织排放浓度满足《</w:t>
      </w:r>
      <w:r>
        <w:rPr>
          <w:rFonts w:hint="default" w:ascii="Times New Roman" w:hAnsi="Times New Roman" w:cs="Times New Roman" w:eastAsiaTheme="minorEastAsia"/>
          <w:sz w:val="24"/>
        </w:rPr>
        <w:t>恶臭污染物排放标准</w:t>
      </w:r>
      <w:r>
        <w:rPr>
          <w:rFonts w:hint="default" w:ascii="Times New Roman" w:hAnsi="Times New Roman" w:cs="Times New Roman"/>
          <w:sz w:val="24"/>
        </w:rPr>
        <w:t>》</w:t>
      </w:r>
      <w:r>
        <w:rPr>
          <w:rFonts w:hint="default" w:ascii="Times New Roman" w:hAnsi="Times New Roman" w:cs="Times New Roman" w:eastAsiaTheme="minorEastAsia"/>
          <w:sz w:val="24"/>
        </w:rPr>
        <w:t>（GB14554-1993）</w:t>
      </w:r>
      <w:r>
        <w:rPr>
          <w:rFonts w:hint="default" w:ascii="Times New Roman" w:hAnsi="Times New Roman" w:cs="Times New Roman"/>
          <w:sz w:val="24"/>
        </w:rPr>
        <w:t>周界外浓度1.5mg/m</w:t>
      </w:r>
      <w:r>
        <w:rPr>
          <w:rFonts w:hint="default" w:ascii="Times New Roman" w:hAnsi="Times New Roman" w:cs="Times New Roman"/>
          <w:sz w:val="24"/>
          <w:vertAlign w:val="superscript"/>
        </w:rPr>
        <w:t>3</w:t>
      </w:r>
      <w:r>
        <w:rPr>
          <w:rFonts w:hint="default" w:ascii="Times New Roman" w:hAnsi="Times New Roman" w:cs="Times New Roman"/>
          <w:sz w:val="24"/>
        </w:rPr>
        <w:t>的要求</w:t>
      </w:r>
      <w:r>
        <w:rPr>
          <w:rFonts w:hint="default" w:ascii="Times New Roman" w:hAnsi="Times New Roman" w:cs="Times New Roman"/>
          <w:sz w:val="24"/>
          <w:lang w:eastAsia="zh-CN"/>
        </w:rPr>
        <w:t>。</w:t>
      </w:r>
      <w:r>
        <w:rPr>
          <w:rFonts w:hint="default" w:ascii="Times New Roman" w:hAnsi="Times New Roman" w:cs="Times New Roman"/>
          <w:sz w:val="24"/>
        </w:rPr>
        <w:t>氮氧化物无组织排放浓度满足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（GB16297-1996）周界外浓度最高点0.12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bCs/>
          <w:sz w:val="24"/>
          <w:szCs w:val="21"/>
          <w:lang w:eastAsia="zh-CN"/>
        </w:rPr>
        <w:t>。</w:t>
      </w:r>
      <w:r>
        <w:rPr>
          <w:rFonts w:hint="default" w:ascii="Times New Roman" w:hAnsi="Times New Roman" w:cs="Times New Roman"/>
          <w:sz w:val="24"/>
          <w:lang w:eastAsia="zh-CN"/>
        </w:rPr>
        <w:t>硫酸雾</w:t>
      </w:r>
      <w:r>
        <w:rPr>
          <w:rFonts w:hint="default" w:ascii="Times New Roman" w:hAnsi="Times New Roman" w:cs="Times New Roman"/>
          <w:sz w:val="24"/>
        </w:rPr>
        <w:t>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spacing w:line="520" w:lineRule="exact"/>
        <w:ind w:firstLine="480" w:firstLineChars="200"/>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综上，项目治理措施可行。</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10.1.2 废水处理情况</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由监测结果可知，项目</w:t>
      </w:r>
      <w:r>
        <w:rPr>
          <w:rFonts w:hint="default" w:ascii="Times New Roman" w:hAnsi="Times New Roman" w:cs="Times New Roman"/>
          <w:color w:val="000000"/>
          <w:sz w:val="24"/>
          <w:lang w:eastAsia="zh-CN"/>
        </w:rPr>
        <w:t>生产经中和处理后返回摇床工序循环使用不外排；生活污水经</w:t>
      </w:r>
      <w:r>
        <w:rPr>
          <w:rFonts w:hint="default" w:ascii="Times New Roman" w:hAnsi="Times New Roman" w:cs="Times New Roman"/>
          <w:color w:val="000000"/>
          <w:sz w:val="24"/>
        </w:rPr>
        <w:t>厂区</w:t>
      </w:r>
      <w:r>
        <w:rPr>
          <w:rFonts w:hint="default" w:ascii="Times New Roman" w:hAnsi="Times New Roman" w:cs="Times New Roman"/>
          <w:color w:val="000000"/>
          <w:sz w:val="24"/>
          <w:lang w:eastAsia="zh-CN"/>
        </w:rPr>
        <w:t>化粪池</w:t>
      </w:r>
      <w:r>
        <w:rPr>
          <w:rFonts w:hint="default" w:ascii="Times New Roman" w:hAnsi="Times New Roman" w:cs="Times New Roman"/>
          <w:color w:val="000000"/>
          <w:sz w:val="24"/>
        </w:rPr>
        <w:t>处理后水质满足《污水综合排放标准》（GB8978-1996）表4</w:t>
      </w:r>
      <w:r>
        <w:rPr>
          <w:rFonts w:hint="default" w:ascii="Times New Roman" w:hAnsi="Times New Roman" w:cs="Times New Roman"/>
          <w:color w:val="000000"/>
          <w:sz w:val="24"/>
          <w:lang w:eastAsia="zh-CN"/>
        </w:rPr>
        <w:t>三</w:t>
      </w:r>
      <w:r>
        <w:rPr>
          <w:rFonts w:hint="default" w:ascii="Times New Roman" w:hAnsi="Times New Roman" w:cs="Times New Roman"/>
          <w:color w:val="000000"/>
          <w:sz w:val="24"/>
        </w:rPr>
        <w:t>级标准要求。</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10.1.3 噪声监测达标情况</w:t>
      </w:r>
    </w:p>
    <w:p>
      <w:pPr>
        <w:tabs>
          <w:tab w:val="left" w:pos="1260"/>
        </w:tabs>
        <w:overflowPunct w:val="0"/>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w:t>
      </w:r>
      <w:r>
        <w:rPr>
          <w:rFonts w:hint="default" w:ascii="Times New Roman" w:hAnsi="Times New Roman" w:cs="Times New Roman"/>
          <w:sz w:val="24"/>
          <w:szCs w:val="28"/>
        </w:rPr>
        <w:t>各厂界噪声实测值均能满足《工业企业厂界环境噪声排放标准》（GB12348-2008）3类标准要求</w:t>
      </w:r>
      <w:r>
        <w:rPr>
          <w:rFonts w:hint="default" w:ascii="Times New Roman" w:hAnsi="Times New Roman" w:cs="Times New Roman"/>
          <w:sz w:val="24"/>
          <w:szCs w:val="24"/>
        </w:rPr>
        <w:t>。</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10.1.4固废处理情况</w:t>
      </w:r>
    </w:p>
    <w:bookmarkEnd w:id="28"/>
    <w:bookmarkEnd w:id="29"/>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bookmarkStart w:id="38" w:name="_Toc751"/>
      <w:r>
        <w:rPr>
          <w:rFonts w:hint="default" w:ascii="Times New Roman" w:hAnsi="Times New Roman" w:cs="Times New Roman"/>
          <w:color w:val="000000"/>
          <w:sz w:val="24"/>
          <w:szCs w:val="24"/>
        </w:rPr>
        <w:t>本项目固废主要为合成后拆分产生的叶腊石块、导电钢圈、碳管、白云石，摇床产生的废渣和中和池池底沉淀的污泥；生产办公人员产生的生活垃圾等。危险废物主要为废酸桶及废润滑油。</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一般固废暂存间面积</w:t>
      </w:r>
      <w:r>
        <w:rPr>
          <w:rFonts w:hint="default" w:ascii="Times New Roman" w:hAnsi="Times New Roman" w:cs="Times New Roman"/>
          <w:sz w:val="24"/>
          <w:szCs w:val="24"/>
          <w:lang w:val="en-US" w:eastAsia="zh-CN"/>
        </w:rPr>
        <w:t>180m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vertAlign w:val="baseline"/>
          <w:lang w:val="en-US" w:eastAsia="zh-CN"/>
        </w:rPr>
        <w:t>，分区分类暂存，</w:t>
      </w:r>
      <w:r>
        <w:rPr>
          <w:rFonts w:hint="default" w:ascii="Times New Roman" w:hAnsi="Times New Roman" w:eastAsia="宋体" w:cs="Times New Roman"/>
          <w:sz w:val="24"/>
          <w:szCs w:val="24"/>
        </w:rPr>
        <w:t>叶腊、废白云石、废碳管、废钢片、废六方氮化硼</w:t>
      </w:r>
      <w:r>
        <w:rPr>
          <w:rFonts w:hint="default" w:ascii="Times New Roman" w:hAnsi="Times New Roman" w:cs="Times New Roman"/>
          <w:sz w:val="24"/>
          <w:szCs w:val="24"/>
          <w:lang w:val="en-US" w:eastAsia="zh-CN"/>
        </w:rPr>
        <w:t>及沉淀的污泥</w:t>
      </w:r>
      <w:r>
        <w:rPr>
          <w:rFonts w:hint="default" w:ascii="Times New Roman" w:hAnsi="Times New Roman" w:eastAsia="宋体" w:cs="Times New Roman"/>
          <w:sz w:val="24"/>
          <w:szCs w:val="24"/>
        </w:rPr>
        <w:t>交由物资回收部门统一处理</w:t>
      </w:r>
      <w:r>
        <w:rPr>
          <w:rFonts w:hint="default" w:ascii="Times New Roman" w:hAnsi="Times New Roman" w:eastAsia="宋体" w:cs="Times New Roman"/>
          <w:sz w:val="24"/>
          <w:szCs w:val="24"/>
          <w:lang w:eastAsia="zh-CN"/>
        </w:rPr>
        <w:t>，满足《一般工业固体废物贮存和填埋污染控制标准》（</w:t>
      </w:r>
      <w:r>
        <w:rPr>
          <w:rFonts w:hint="default" w:ascii="Times New Roman" w:hAnsi="Times New Roman" w:eastAsia="宋体" w:cs="Times New Roman"/>
          <w:sz w:val="24"/>
          <w:szCs w:val="24"/>
          <w:lang w:val="en-US" w:eastAsia="zh-CN"/>
        </w:rPr>
        <w:t>GB18599-2020</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危废暂存间面积</w:t>
      </w:r>
      <w:r>
        <w:rPr>
          <w:rFonts w:hint="default" w:ascii="Times New Roman" w:hAnsi="Times New Roman" w:cs="Times New Roman"/>
          <w:sz w:val="24"/>
          <w:szCs w:val="24"/>
          <w:lang w:val="en-US" w:eastAsia="zh-CN"/>
        </w:rPr>
        <w:t>60m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vertAlign w:val="baseline"/>
          <w:lang w:val="en-US" w:eastAsia="zh-CN"/>
        </w:rPr>
        <w:t>，</w:t>
      </w:r>
      <w:r>
        <w:rPr>
          <w:rFonts w:hint="default" w:ascii="Times New Roman" w:hAnsi="Times New Roman" w:eastAsia="宋体" w:cs="Times New Roman"/>
          <w:sz w:val="24"/>
          <w:szCs w:val="24"/>
        </w:rPr>
        <w:t>废酸瓶交由资质单位处</w:t>
      </w:r>
      <w:r>
        <w:rPr>
          <w:rFonts w:hint="default" w:ascii="Times New Roman" w:hAnsi="Times New Roman" w:eastAsia="宋体" w:cs="Times New Roman"/>
          <w:sz w:val="24"/>
          <w:szCs w:val="24"/>
          <w:lang w:eastAsia="zh-CN"/>
        </w:rPr>
        <w:t>置，满足《危</w:t>
      </w:r>
      <w:r>
        <w:rPr>
          <w:rFonts w:hint="default" w:ascii="Times New Roman" w:hAnsi="Times New Roman" w:cs="Times New Roman"/>
          <w:sz w:val="24"/>
          <w:szCs w:val="24"/>
          <w:lang w:val="en-US" w:eastAsia="zh-CN"/>
        </w:rPr>
        <w:t>险</w:t>
      </w:r>
      <w:r>
        <w:rPr>
          <w:rFonts w:hint="default" w:ascii="Times New Roman" w:hAnsi="Times New Roman" w:eastAsia="宋体" w:cs="Times New Roman"/>
          <w:sz w:val="24"/>
          <w:szCs w:val="24"/>
          <w:lang w:eastAsia="zh-CN"/>
        </w:rPr>
        <w:t>废物贮存污染控制标准》（</w:t>
      </w:r>
      <w:r>
        <w:rPr>
          <w:rFonts w:hint="default" w:ascii="Times New Roman" w:hAnsi="Times New Roman" w:eastAsia="宋体" w:cs="Times New Roman"/>
          <w:sz w:val="24"/>
          <w:szCs w:val="24"/>
          <w:lang w:val="en-US" w:eastAsia="zh-CN"/>
        </w:rPr>
        <w:t>GB18597-2023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生活垃圾</w:t>
      </w:r>
      <w:r>
        <w:rPr>
          <w:rFonts w:hint="default" w:ascii="Times New Roman" w:hAnsi="Times New Roman" w:eastAsia="宋体" w:cs="Times New Roman"/>
          <w:sz w:val="24"/>
          <w:szCs w:val="24"/>
          <w:lang w:eastAsia="zh-CN"/>
        </w:rPr>
        <w:t>交由环卫部门处理。</w:t>
      </w:r>
    </w:p>
    <w:p>
      <w:pPr>
        <w:tabs>
          <w:tab w:val="left" w:pos="4050"/>
        </w:tabs>
        <w:spacing w:line="520"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10.2工程建设对环境的影响</w:t>
      </w:r>
      <w:bookmarkEnd w:id="38"/>
    </w:p>
    <w:p>
      <w:pPr>
        <w:pStyle w:val="91"/>
        <w:ind w:firstLine="480"/>
        <w:rPr>
          <w:rFonts w:hint="default" w:ascii="Times New Roman" w:hAnsi="Times New Roman" w:cs="Times New Roman"/>
          <w:color w:val="auto"/>
        </w:rPr>
      </w:pPr>
      <w:bookmarkStart w:id="39" w:name="_Toc21506"/>
      <w:r>
        <w:rPr>
          <w:rFonts w:hint="default" w:ascii="Times New Roman" w:hAnsi="Times New Roman" w:cs="Times New Roman"/>
          <w:color w:val="auto"/>
        </w:rPr>
        <w:t>根据项目环境影响报告表及环评批复，项目不涉及周边地表水、地下水、海水、环境空气、声环境、土壤、辐射环境质量等验收监测内容。项目产生的废气、废水噪声经采取相应措施后可达标排放，固废资源化利用不外排，项目建设对周围环境影响较小。</w:t>
      </w:r>
    </w:p>
    <w:p>
      <w:pPr>
        <w:tabs>
          <w:tab w:val="left" w:pos="4050"/>
        </w:tabs>
        <w:spacing w:line="520"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10.3后续工作</w:t>
      </w:r>
    </w:p>
    <w:p>
      <w:pPr>
        <w:tabs>
          <w:tab w:val="left" w:pos="4050"/>
        </w:tabs>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加强全厂的安全及环保管理，做好环保设施的日常维护和管理，保证环保设施长期稳定运行，各项污染物长期稳定达标排放。</w:t>
      </w:r>
    </w:p>
    <w:p>
      <w:pPr>
        <w:tabs>
          <w:tab w:val="left" w:pos="4050"/>
        </w:tabs>
        <w:spacing w:line="520" w:lineRule="exact"/>
        <w:ind w:firstLine="480" w:firstLineChars="200"/>
        <w:rPr>
          <w:rFonts w:hint="default" w:ascii="Times New Roman" w:hAnsi="Times New Roman" w:cs="Times New Roman"/>
          <w:sz w:val="24"/>
          <w:szCs w:val="24"/>
        </w:rPr>
      </w:pPr>
    </w:p>
    <w:p>
      <w:pPr>
        <w:wordWrap w:val="0"/>
        <w:adjustRightInd w:val="0"/>
        <w:snapToGrid w:val="0"/>
        <w:spacing w:line="500" w:lineRule="exact"/>
        <w:ind w:firstLine="482" w:firstLineChars="200"/>
        <w:rPr>
          <w:rFonts w:hint="default" w:ascii="Times New Roman" w:hAnsi="Times New Roman" w:cs="Times New Roman"/>
          <w:b/>
          <w:sz w:val="24"/>
        </w:rPr>
      </w:pPr>
      <w:r>
        <w:rPr>
          <w:rFonts w:hint="default" w:ascii="Times New Roman" w:hAnsi="Times New Roman" w:cs="Times New Roman"/>
          <w:b/>
          <w:sz w:val="24"/>
          <w:szCs w:val="24"/>
        </w:rPr>
        <w:t>综上所述，信阳市德隆超硬材料有限公司年产5000万克拉高转化率锋利型立方氮化硼单晶项目各项环境保护措施均按照环评报告表及环评批复的要求落实到位，目前各项环保设施运行情况良好，不存在重大环境影响问题，对区域环境影响较小，符合环境管理的要求，总体上达到了建设项目竣工环境保护验收的条件，建议本项目通过环境保护验收。</w:t>
      </w:r>
    </w:p>
    <w:bookmarkEnd w:id="39"/>
    <w:p>
      <w:pPr>
        <w:spacing w:line="500" w:lineRule="exact"/>
        <w:rPr>
          <w:rFonts w:hint="default" w:ascii="Times New Roman" w:hAnsi="Times New Roman" w:cs="Times New Roman"/>
          <w:color w:val="000000"/>
          <w:sz w:val="24"/>
          <w:szCs w:val="24"/>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linePitch="312" w:charSpace="0"/>
        </w:sect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11、建设项目工程竣工环境保护“三同时”验收登记表</w:t>
      </w:r>
    </w:p>
    <w:p>
      <w:pPr>
        <w:rPr>
          <w:rFonts w:hint="default" w:ascii="Times New Roman" w:hAnsi="Times New Roman" w:cs="Times New Roman"/>
          <w:color w:val="000000"/>
          <w:sz w:val="18"/>
        </w:rPr>
      </w:pPr>
      <w:r>
        <w:rPr>
          <w:rFonts w:hint="default" w:ascii="Times New Roman" w:hAnsi="Times New Roman" w:cs="Times New Roman"/>
          <w:color w:val="000000"/>
          <w:sz w:val="18"/>
        </w:rPr>
        <w:t>填表单位(盖章):</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18"/>
        </w:rPr>
        <w:t xml:space="preserve">信阳市德隆超硬材料有限公司                            填表人(签字):                                 项目经办人(签字): </w:t>
      </w:r>
    </w:p>
    <w:tbl>
      <w:tblPr>
        <w:tblStyle w:val="42"/>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00"/>
        <w:gridCol w:w="790"/>
        <w:gridCol w:w="825"/>
        <w:gridCol w:w="1200"/>
        <w:gridCol w:w="1230"/>
        <w:gridCol w:w="10"/>
        <w:gridCol w:w="1058"/>
        <w:gridCol w:w="36"/>
        <w:gridCol w:w="956"/>
        <w:gridCol w:w="1103"/>
        <w:gridCol w:w="881"/>
        <w:gridCol w:w="2136"/>
        <w:gridCol w:w="1085"/>
        <w:gridCol w:w="820"/>
        <w:gridCol w:w="457"/>
        <w:gridCol w:w="564"/>
        <w:gridCol w:w="12"/>
        <w:gridCol w:w="43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64" w:type="dxa"/>
            <w:vMerge w:val="restart"/>
            <w:textDirection w:val="tbRlV"/>
            <w:vAlign w:val="center"/>
          </w:tcPr>
          <w:p>
            <w:pPr>
              <w:ind w:left="113" w:right="113"/>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建设项目</w:t>
            </w: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项目名称</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信阳市德隆超硬材料有限公司年产5000万克拉高转化率锋利型立方氮化硼单晶项目</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项目代码</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2108-410172-04-02-889340</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建设地点</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kern w:val="0"/>
                <w:sz w:val="16"/>
                <w:szCs w:val="20"/>
              </w:rPr>
              <w:t>信阳市产业集聚区信阳高新区工五路与工十四路交叉口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行业类别</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309石墨及其他非金属矿物制品制造</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建设性质</w:t>
            </w:r>
          </w:p>
        </w:tc>
        <w:tc>
          <w:tcPr>
            <w:tcW w:w="6079" w:type="dxa"/>
            <w:gridSpan w:val="8"/>
            <w:vAlign w:val="center"/>
          </w:tcPr>
          <w:p>
            <w:pPr>
              <w:ind w:firstLine="576" w:firstLineChars="400"/>
              <w:jc w:val="center"/>
              <w:rPr>
                <w:rFonts w:hint="default" w:ascii="Times New Roman" w:hAnsi="Times New Roman" w:cs="Times New Roman"/>
                <w:color w:val="000000"/>
                <w:sz w:val="16"/>
                <w:szCs w:val="16"/>
              </w:rPr>
            </w:pPr>
            <w:r>
              <w:rPr>
                <w:rFonts w:hint="default" w:ascii="Times New Roman" w:hAnsi="Times New Roman" w:cs="Times New Roman"/>
                <w:color w:val="000000"/>
                <w:spacing w:val="-8"/>
                <w:sz w:val="16"/>
                <w:szCs w:val="16"/>
              </w:rPr>
              <w:t xml:space="preserve">  □新建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设计生产能力</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lang w:val="en-US" w:eastAsia="zh-CN"/>
              </w:rPr>
              <w:t>5000万</w:t>
            </w:r>
            <w:r>
              <w:rPr>
                <w:rFonts w:hint="default" w:ascii="Times New Roman" w:hAnsi="Times New Roman" w:cs="Times New Roman"/>
                <w:color w:val="000000"/>
                <w:sz w:val="16"/>
                <w:szCs w:val="16"/>
              </w:rPr>
              <w:t>克拉单晶</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实际生产能力</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lang w:val="en-US" w:eastAsia="zh-CN"/>
              </w:rPr>
              <w:t>5000万</w:t>
            </w:r>
            <w:r>
              <w:rPr>
                <w:rFonts w:hint="default" w:ascii="Times New Roman" w:hAnsi="Times New Roman" w:cs="Times New Roman"/>
                <w:color w:val="000000"/>
                <w:sz w:val="16"/>
                <w:szCs w:val="16"/>
              </w:rPr>
              <w:t>克拉单晶</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环评单位</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kern w:val="0"/>
                <w:sz w:val="16"/>
                <w:szCs w:val="20"/>
              </w:rPr>
              <w:t>安徽汇泽通环境技术有限公司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环评文件审批机关</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信阳市生态环境局</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审批文号</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lang w:val="en-US" w:eastAsia="zh-CN"/>
              </w:rPr>
              <w:t>信环审[2021]31号</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环评文件类型</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开工日期</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2021.1</w:t>
            </w:r>
            <w:r>
              <w:rPr>
                <w:rFonts w:hint="default" w:ascii="Times New Roman" w:hAnsi="Times New Roman" w:cs="Times New Roman"/>
                <w:color w:val="000000"/>
                <w:sz w:val="16"/>
                <w:szCs w:val="16"/>
                <w:lang w:val="en-US" w:eastAsia="zh-CN"/>
              </w:rPr>
              <w:t>0</w:t>
            </w:r>
            <w:r>
              <w:rPr>
                <w:rFonts w:hint="default" w:ascii="Times New Roman" w:hAnsi="Times New Roman" w:cs="Times New Roman"/>
                <w:color w:val="000000"/>
                <w:sz w:val="16"/>
                <w:szCs w:val="16"/>
              </w:rPr>
              <w:t>.1</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竣工日期</w:t>
            </w:r>
          </w:p>
        </w:tc>
        <w:tc>
          <w:tcPr>
            <w:tcW w:w="2136"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202</w:t>
            </w:r>
            <w:r>
              <w:rPr>
                <w:rFonts w:hint="default"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w:t>
            </w:r>
            <w:r>
              <w:rPr>
                <w:rFonts w:hint="default" w:ascii="Times New Roman" w:hAnsi="Times New Roman" w:cs="Times New Roman"/>
                <w:color w:val="000000"/>
                <w:sz w:val="16"/>
                <w:szCs w:val="16"/>
                <w:lang w:val="en-US" w:eastAsia="zh-CN"/>
              </w:rPr>
              <w:t>5</w:t>
            </w:r>
            <w:r>
              <w:rPr>
                <w:rFonts w:hint="default" w:ascii="Times New Roman" w:hAnsi="Times New Roman" w:cs="Times New Roman"/>
                <w:color w:val="000000"/>
                <w:sz w:val="16"/>
                <w:szCs w:val="16"/>
              </w:rPr>
              <w:t>.</w:t>
            </w:r>
            <w:r>
              <w:rPr>
                <w:rFonts w:hint="default" w:ascii="Times New Roman" w:hAnsi="Times New Roman" w:cs="Times New Roman"/>
                <w:color w:val="000000"/>
                <w:sz w:val="16"/>
                <w:szCs w:val="16"/>
                <w:lang w:val="en-US" w:eastAsia="zh-CN"/>
              </w:rPr>
              <w:t>31</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排污许可证申领时间</w:t>
            </w:r>
          </w:p>
        </w:tc>
        <w:tc>
          <w:tcPr>
            <w:tcW w:w="2038" w:type="dxa"/>
            <w:gridSpan w:val="5"/>
            <w:vAlign w:val="center"/>
          </w:tcPr>
          <w:p>
            <w:pPr>
              <w:jc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202</w:t>
            </w:r>
            <w:r>
              <w:rPr>
                <w:rFonts w:hint="default"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年</w:t>
            </w:r>
            <w:r>
              <w:rPr>
                <w:rFonts w:hint="default" w:ascii="Times New Roman" w:hAnsi="Times New Roman" w:cs="Times New Roman"/>
                <w:color w:val="000000"/>
                <w:sz w:val="16"/>
                <w:szCs w:val="16"/>
                <w:lang w:val="en-US" w:eastAsia="zh-CN"/>
              </w:rPr>
              <w:t>7</w:t>
            </w:r>
            <w:r>
              <w:rPr>
                <w:rFonts w:hint="default" w:ascii="Times New Roman" w:hAnsi="Times New Roman" w:cs="Times New Roman"/>
                <w:color w:val="000000"/>
                <w:sz w:val="16"/>
                <w:szCs w:val="16"/>
              </w:rPr>
              <w:t>月2</w:t>
            </w:r>
            <w:r>
              <w:rPr>
                <w:rFonts w:hint="default" w:ascii="Times New Roman" w:hAnsi="Times New Roman" w:cs="Times New Roman"/>
                <w:color w:val="000000"/>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环保设施设计单位</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环保设施施工单位</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本工程排污许可证编号</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914101007218444146001Z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验收单位</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信阳市德隆超硬材料有限公司</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环保设施监测单位</w:t>
            </w:r>
          </w:p>
        </w:tc>
        <w:tc>
          <w:tcPr>
            <w:tcW w:w="2136" w:type="dxa"/>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河南</w:t>
            </w:r>
            <w:r>
              <w:rPr>
                <w:rFonts w:hint="default" w:ascii="Times New Roman" w:hAnsi="Times New Roman" w:cs="Times New Roman"/>
                <w:color w:val="000000"/>
                <w:sz w:val="16"/>
                <w:szCs w:val="16"/>
                <w:lang w:eastAsia="zh-CN"/>
              </w:rPr>
              <w:t>永飞检测科技</w:t>
            </w:r>
            <w:r>
              <w:rPr>
                <w:rFonts w:hint="default" w:ascii="Times New Roman" w:hAnsi="Times New Roman" w:cs="Times New Roman"/>
                <w:color w:val="000000"/>
                <w:sz w:val="16"/>
                <w:szCs w:val="16"/>
              </w:rPr>
              <w:t>有限公司</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验收检测时工况</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投资总概算（万元）</w:t>
            </w:r>
          </w:p>
        </w:tc>
        <w:tc>
          <w:tcPr>
            <w:tcW w:w="5315" w:type="dxa"/>
            <w:gridSpan w:val="7"/>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2000</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环保投资总概算（万元）</w:t>
            </w:r>
          </w:p>
        </w:tc>
        <w:tc>
          <w:tcPr>
            <w:tcW w:w="2136"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36</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所占比例（%）</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lang w:val="en-US" w:eastAsia="zh-CN"/>
              </w:rPr>
              <w:t>1.8</w:t>
            </w: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实际总投资</w:t>
            </w:r>
          </w:p>
        </w:tc>
        <w:tc>
          <w:tcPr>
            <w:tcW w:w="5315" w:type="dxa"/>
            <w:gridSpan w:val="7"/>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1600</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实际环保投资（万元）</w:t>
            </w:r>
          </w:p>
        </w:tc>
        <w:tc>
          <w:tcPr>
            <w:tcW w:w="2136"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36</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所占比例（%）</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lang w:val="en-US" w:eastAsia="zh-CN"/>
              </w:rPr>
              <w:t>2.25</w:t>
            </w: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废水治理（万元）</w:t>
            </w:r>
          </w:p>
        </w:tc>
        <w:tc>
          <w:tcPr>
            <w:tcW w:w="825"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19</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废气治理（万元）</w:t>
            </w:r>
          </w:p>
        </w:tc>
        <w:tc>
          <w:tcPr>
            <w:tcW w:w="1240" w:type="dxa"/>
            <w:gridSpan w:val="2"/>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12</w:t>
            </w:r>
          </w:p>
        </w:tc>
        <w:tc>
          <w:tcPr>
            <w:tcW w:w="1058"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噪声治理（万元）</w:t>
            </w:r>
          </w:p>
        </w:tc>
        <w:tc>
          <w:tcPr>
            <w:tcW w:w="99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固体废物治理（万元）</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绿化及生态（万元）</w:t>
            </w:r>
          </w:p>
        </w:tc>
        <w:tc>
          <w:tcPr>
            <w:tcW w:w="457"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11"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其他（万元）</w:t>
            </w:r>
          </w:p>
        </w:tc>
        <w:tc>
          <w:tcPr>
            <w:tcW w:w="57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新增废水处理设施能力</w:t>
            </w:r>
          </w:p>
        </w:tc>
        <w:tc>
          <w:tcPr>
            <w:tcW w:w="5315"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新增废气处理设施能力</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年平均工作时</w:t>
            </w:r>
          </w:p>
        </w:tc>
        <w:tc>
          <w:tcPr>
            <w:tcW w:w="2038"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运营单位</w:t>
            </w:r>
          </w:p>
        </w:tc>
        <w:tc>
          <w:tcPr>
            <w:tcW w:w="3265" w:type="dxa"/>
            <w:gridSpan w:val="4"/>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信阳市德隆超硬材料有限公司</w:t>
            </w:r>
          </w:p>
        </w:tc>
        <w:tc>
          <w:tcPr>
            <w:tcW w:w="4034"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运营单位社会统一信用代码（或组织机构代码）</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914101007218444146</w:t>
            </w:r>
          </w:p>
        </w:tc>
        <w:tc>
          <w:tcPr>
            <w:tcW w:w="19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验收时间</w:t>
            </w:r>
          </w:p>
        </w:tc>
        <w:tc>
          <w:tcPr>
            <w:tcW w:w="2038" w:type="dxa"/>
            <w:gridSpan w:val="5"/>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202</w:t>
            </w:r>
            <w:r>
              <w:rPr>
                <w:rFonts w:hint="default"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.1</w:t>
            </w:r>
            <w:r>
              <w:rPr>
                <w:rFonts w:hint="default" w:ascii="Times New Roman" w:hAnsi="Times New Roman" w:cs="Times New Roman"/>
                <w:color w:val="000000"/>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4" w:type="dxa"/>
            <w:vMerge w:val="restart"/>
            <w:textDirection w:val="tbRlV"/>
            <w:vAlign w:val="center"/>
          </w:tcPr>
          <w:p>
            <w:pPr>
              <w:ind w:left="113" w:right="113"/>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污染物排放达标与总量控制（工业建设项目详填）</w:t>
            </w: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污染物</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原有排放量（1）</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本期工程实际排放浓度（2）</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本期工程允许排放浓度（3）</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本期工程产生量（4）</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本期工程自身削减量（5）</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本期工程实际排放量（6）</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本期工程核定排放总量（7）</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本期工程“以新带老”削减量（8）</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全厂实际排放总量（9）</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全厂核定排放总量（10）</w:t>
            </w:r>
          </w:p>
        </w:tc>
        <w:tc>
          <w:tcPr>
            <w:tcW w:w="102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区域平衡替代削减量（11）</w:t>
            </w:r>
          </w:p>
        </w:tc>
        <w:tc>
          <w:tcPr>
            <w:tcW w:w="1017"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废水</w:t>
            </w:r>
          </w:p>
        </w:tc>
        <w:tc>
          <w:tcPr>
            <w:tcW w:w="825"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9</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9</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9</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9</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9</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化学需氧量</w:t>
            </w:r>
          </w:p>
        </w:tc>
        <w:tc>
          <w:tcPr>
            <w:tcW w:w="825"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045</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045</w:t>
            </w:r>
          </w:p>
        </w:tc>
        <w:tc>
          <w:tcPr>
            <w:tcW w:w="881"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045</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045</w:t>
            </w:r>
          </w:p>
        </w:tc>
        <w:tc>
          <w:tcPr>
            <w:tcW w:w="820"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default" w:ascii="Times New Roman" w:hAnsi="Times New Roman" w:cs="Times New Roman"/>
                <w:color w:val="000000"/>
                <w:sz w:val="16"/>
                <w:szCs w:val="16"/>
                <w:lang w:val="en-US" w:eastAsia="zh-CN"/>
              </w:rPr>
              <w:t>045</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氨氮</w:t>
            </w:r>
          </w:p>
        </w:tc>
        <w:tc>
          <w:tcPr>
            <w:tcW w:w="825"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0.0</w:t>
            </w:r>
            <w:r>
              <w:rPr>
                <w:rFonts w:hint="default" w:ascii="Times New Roman" w:hAnsi="Times New Roman" w:cs="Times New Roman"/>
                <w:color w:val="000000"/>
                <w:sz w:val="16"/>
                <w:szCs w:val="16"/>
                <w:lang w:val="en-US" w:eastAsia="zh-CN"/>
              </w:rPr>
              <w:t>045</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w:t>
            </w:r>
            <w:r>
              <w:rPr>
                <w:rFonts w:hint="default" w:ascii="Times New Roman" w:hAnsi="Times New Roman" w:cs="Times New Roman"/>
                <w:color w:val="000000"/>
                <w:sz w:val="16"/>
                <w:szCs w:val="16"/>
                <w:lang w:val="en-US" w:eastAsia="zh-CN"/>
              </w:rPr>
              <w:t>045</w:t>
            </w:r>
          </w:p>
        </w:tc>
        <w:tc>
          <w:tcPr>
            <w:tcW w:w="881"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w:t>
            </w:r>
            <w:r>
              <w:rPr>
                <w:rFonts w:hint="default" w:ascii="Times New Roman" w:hAnsi="Times New Roman" w:cs="Times New Roman"/>
                <w:color w:val="000000"/>
                <w:sz w:val="16"/>
                <w:szCs w:val="16"/>
                <w:lang w:val="en-US" w:eastAsia="zh-CN"/>
              </w:rPr>
              <w:t>045</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w:t>
            </w:r>
            <w:r>
              <w:rPr>
                <w:rFonts w:hint="default" w:ascii="Times New Roman" w:hAnsi="Times New Roman" w:cs="Times New Roman"/>
                <w:color w:val="000000"/>
                <w:sz w:val="16"/>
                <w:szCs w:val="16"/>
                <w:lang w:val="en-US" w:eastAsia="zh-CN"/>
              </w:rPr>
              <w:t>045</w:t>
            </w:r>
          </w:p>
        </w:tc>
        <w:tc>
          <w:tcPr>
            <w:tcW w:w="820"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w:t>
            </w:r>
            <w:r>
              <w:rPr>
                <w:rFonts w:hint="default" w:ascii="Times New Roman" w:hAnsi="Times New Roman" w:cs="Times New Roman"/>
                <w:color w:val="000000"/>
                <w:sz w:val="16"/>
                <w:szCs w:val="16"/>
                <w:lang w:val="en-US" w:eastAsia="zh-CN"/>
              </w:rPr>
              <w:t>045</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石油类</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废气</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二氧化硫</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烟尘</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工业粉尘</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89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氮氧化物</w:t>
            </w:r>
          </w:p>
        </w:tc>
        <w:tc>
          <w:tcPr>
            <w:tcW w:w="825" w:type="dxa"/>
            <w:vAlign w:val="center"/>
          </w:tcPr>
          <w:p>
            <w:pPr>
              <w:jc w:val="center"/>
              <w:rPr>
                <w:rFonts w:hint="default" w:ascii="Times New Roman" w:hAnsi="Times New Roman" w:cs="Times New Roman"/>
                <w:color w:val="000000"/>
                <w:sz w:val="16"/>
                <w:szCs w:val="16"/>
              </w:rPr>
            </w:pP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p>
        </w:tc>
        <w:tc>
          <w:tcPr>
            <w:tcW w:w="1104" w:type="dxa"/>
            <w:gridSpan w:val="3"/>
            <w:vAlign w:val="center"/>
          </w:tcPr>
          <w:p>
            <w:pPr>
              <w:jc w:val="center"/>
              <w:rPr>
                <w:rFonts w:hint="default" w:ascii="Times New Roman" w:hAnsi="Times New Roman" w:cs="Times New Roman"/>
                <w:color w:val="000000"/>
                <w:sz w:val="16"/>
                <w:szCs w:val="16"/>
              </w:rPr>
            </w:pPr>
          </w:p>
        </w:tc>
        <w:tc>
          <w:tcPr>
            <w:tcW w:w="956" w:type="dxa"/>
            <w:vAlign w:val="center"/>
          </w:tcPr>
          <w:p>
            <w:pPr>
              <w:jc w:val="center"/>
              <w:rPr>
                <w:rFonts w:hint="default" w:ascii="Times New Roman" w:hAnsi="Times New Roman" w:cs="Times New Roman"/>
                <w:color w:val="000000"/>
                <w:sz w:val="16"/>
                <w:szCs w:val="16"/>
              </w:rPr>
            </w:pP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restart"/>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与项目有关的其他特征污染物</w:t>
            </w:r>
          </w:p>
        </w:tc>
        <w:tc>
          <w:tcPr>
            <w:tcW w:w="79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SS</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continue"/>
            <w:vAlign w:val="center"/>
          </w:tcPr>
          <w:p>
            <w:pPr>
              <w:jc w:val="center"/>
              <w:rPr>
                <w:rFonts w:hint="default" w:ascii="Times New Roman" w:hAnsi="Times New Roman" w:cs="Times New Roman"/>
                <w:color w:val="000000"/>
                <w:sz w:val="16"/>
                <w:szCs w:val="16"/>
              </w:rPr>
            </w:pPr>
          </w:p>
        </w:tc>
        <w:tc>
          <w:tcPr>
            <w:tcW w:w="79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总磷</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continue"/>
            <w:vAlign w:val="center"/>
          </w:tcPr>
          <w:p>
            <w:pPr>
              <w:jc w:val="center"/>
              <w:rPr>
                <w:rFonts w:hint="default" w:ascii="Times New Roman" w:hAnsi="Times New Roman" w:cs="Times New Roman"/>
                <w:color w:val="000000"/>
                <w:sz w:val="16"/>
                <w:szCs w:val="16"/>
              </w:rPr>
            </w:pPr>
          </w:p>
        </w:tc>
        <w:tc>
          <w:tcPr>
            <w:tcW w:w="79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非甲烷总烃</w:t>
            </w:r>
          </w:p>
        </w:tc>
        <w:tc>
          <w:tcPr>
            <w:tcW w:w="82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0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3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85"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2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3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bl>
    <w:p>
      <w:pPr>
        <w:jc w:val="left"/>
        <w:rPr>
          <w:rFonts w:hint="default" w:ascii="Times New Roman" w:hAnsi="Times New Roman" w:cs="Times New Roman"/>
          <w:color w:val="000000"/>
          <w:sz w:val="18"/>
        </w:rPr>
      </w:pPr>
      <w:r>
        <w:rPr>
          <w:rFonts w:hint="default" w:ascii="Times New Roman" w:hAnsi="Times New Roman" w:cs="Times New Roman"/>
          <w:color w:val="000000"/>
          <w:sz w:val="18"/>
        </w:rPr>
        <w:t>注：1、排放增减量：(+)表示增加，(—)表示减少。2、(12)=(6)-(8)-(11),  (9)=(4)-(5)-(8)-(11)+(1)。3、计量单位：废水排放量—万吨/年；废气排放量—万标立方米/年；工业固体废物排放量—万吨/年；水污染物排放浓度—毫克/升</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Console">
    <w:panose1 w:val="020B0609040504020204"/>
    <w:charset w:val="00"/>
    <w:family w:val="modern"/>
    <w:pitch w:val="default"/>
    <w:sig w:usb0="8000028F" w:usb1="00001800" w:usb2="00000000" w:usb3="00000000" w:csb0="0000001F" w:csb1="D7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590" w:firstLineChars="2550"/>
      <w:rPr>
        <w:sz w:val="18"/>
        <w:szCs w:val="18"/>
      </w:rPr>
    </w:pPr>
    <w:r>
      <w:rPr>
        <w:rFonts w:ascii="Times New Roman" w:hAnsi="Times New Roman"/>
        <w:sz w:val="18"/>
        <w:szCs w:val="18"/>
      </w:rPr>
      <w:fldChar w:fldCharType="begin"/>
    </w:r>
    <w:r>
      <w:rPr>
        <w:rStyle w:val="47"/>
        <w:rFonts w:ascii="Times New Roman" w:hAnsi="Times New Roman"/>
        <w:sz w:val="18"/>
        <w:szCs w:val="18"/>
      </w:rPr>
      <w:instrText xml:space="preserve"> PAGE </w:instrText>
    </w:r>
    <w:r>
      <w:rPr>
        <w:rFonts w:ascii="Times New Roman" w:hAnsi="Times New Roman"/>
        <w:sz w:val="18"/>
        <w:szCs w:val="18"/>
      </w:rPr>
      <w:fldChar w:fldCharType="separate"/>
    </w:r>
    <w:r>
      <w:rPr>
        <w:rStyle w:val="47"/>
        <w:rFonts w:ascii="Times New Roman" w:hAnsi="Times New Roman"/>
        <w:sz w:val="18"/>
        <w:szCs w:val="18"/>
      </w:rPr>
      <w:t>8</w:t>
    </w:r>
    <w:r>
      <w:rPr>
        <w:rFonts w:ascii="Times New Roman" w:hAnsi="Times New Roman"/>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210FD"/>
    <w:multiLevelType w:val="singleLevel"/>
    <w:tmpl w:val="AE1210FD"/>
    <w:lvl w:ilvl="0" w:tentative="0">
      <w:start w:val="3"/>
      <w:numFmt w:val="decimal"/>
      <w:suff w:val="nothing"/>
      <w:lvlText w:val="%1、"/>
      <w:lvlJc w:val="left"/>
    </w:lvl>
  </w:abstractNum>
  <w:abstractNum w:abstractNumId="1">
    <w:nsid w:val="1C4100A6"/>
    <w:multiLevelType w:val="singleLevel"/>
    <w:tmpl w:val="1C4100A6"/>
    <w:lvl w:ilvl="0" w:tentative="0">
      <w:start w:val="1"/>
      <w:numFmt w:val="decimal"/>
      <w:suff w:val="nothing"/>
      <w:lvlText w:val="（%1）"/>
      <w:lvlJc w:val="left"/>
    </w:lvl>
  </w:abstractNum>
  <w:abstractNum w:abstractNumId="2">
    <w:nsid w:val="53E94609"/>
    <w:multiLevelType w:val="multilevel"/>
    <w:tmpl w:val="53E9460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jMGEzZGEwODQzZjAwMTdmMzdkMDdjZDlmODg1MTQifQ=="/>
  </w:docVars>
  <w:rsids>
    <w:rsidRoot w:val="005A03CA"/>
    <w:rsid w:val="00000E45"/>
    <w:rsid w:val="00002B51"/>
    <w:rsid w:val="00002CC8"/>
    <w:rsid w:val="00002E66"/>
    <w:rsid w:val="00003F14"/>
    <w:rsid w:val="0000426B"/>
    <w:rsid w:val="00004424"/>
    <w:rsid w:val="000045F8"/>
    <w:rsid w:val="00005174"/>
    <w:rsid w:val="00005175"/>
    <w:rsid w:val="0000547D"/>
    <w:rsid w:val="000057FC"/>
    <w:rsid w:val="000060D9"/>
    <w:rsid w:val="0000678E"/>
    <w:rsid w:val="00007B03"/>
    <w:rsid w:val="0001133C"/>
    <w:rsid w:val="000142E8"/>
    <w:rsid w:val="00014994"/>
    <w:rsid w:val="00014DE6"/>
    <w:rsid w:val="00015BC3"/>
    <w:rsid w:val="00015ECD"/>
    <w:rsid w:val="00016285"/>
    <w:rsid w:val="0001660B"/>
    <w:rsid w:val="00016A0F"/>
    <w:rsid w:val="00016FDE"/>
    <w:rsid w:val="00017E37"/>
    <w:rsid w:val="00021DD2"/>
    <w:rsid w:val="00021F08"/>
    <w:rsid w:val="00022337"/>
    <w:rsid w:val="000227D2"/>
    <w:rsid w:val="00022EFC"/>
    <w:rsid w:val="0002371C"/>
    <w:rsid w:val="00023CDA"/>
    <w:rsid w:val="00024AF2"/>
    <w:rsid w:val="00025276"/>
    <w:rsid w:val="00025629"/>
    <w:rsid w:val="000309E8"/>
    <w:rsid w:val="00030D22"/>
    <w:rsid w:val="00031955"/>
    <w:rsid w:val="00032056"/>
    <w:rsid w:val="000329D4"/>
    <w:rsid w:val="00033448"/>
    <w:rsid w:val="00033818"/>
    <w:rsid w:val="000345BA"/>
    <w:rsid w:val="00034976"/>
    <w:rsid w:val="000349F5"/>
    <w:rsid w:val="00036980"/>
    <w:rsid w:val="00036CA9"/>
    <w:rsid w:val="000372B6"/>
    <w:rsid w:val="000373D7"/>
    <w:rsid w:val="00037D14"/>
    <w:rsid w:val="00037FF9"/>
    <w:rsid w:val="0004092E"/>
    <w:rsid w:val="00040E9A"/>
    <w:rsid w:val="00040F4C"/>
    <w:rsid w:val="00041275"/>
    <w:rsid w:val="000422BC"/>
    <w:rsid w:val="000423E6"/>
    <w:rsid w:val="00044172"/>
    <w:rsid w:val="00044F08"/>
    <w:rsid w:val="00045A97"/>
    <w:rsid w:val="00047007"/>
    <w:rsid w:val="00047099"/>
    <w:rsid w:val="00047FAE"/>
    <w:rsid w:val="000503FC"/>
    <w:rsid w:val="00050618"/>
    <w:rsid w:val="00050948"/>
    <w:rsid w:val="0005099F"/>
    <w:rsid w:val="00051241"/>
    <w:rsid w:val="000515EE"/>
    <w:rsid w:val="000520E8"/>
    <w:rsid w:val="0005235C"/>
    <w:rsid w:val="0005254E"/>
    <w:rsid w:val="00052578"/>
    <w:rsid w:val="000527EB"/>
    <w:rsid w:val="000528FA"/>
    <w:rsid w:val="00052B94"/>
    <w:rsid w:val="0005348B"/>
    <w:rsid w:val="0005351E"/>
    <w:rsid w:val="00053943"/>
    <w:rsid w:val="0005401D"/>
    <w:rsid w:val="000544C2"/>
    <w:rsid w:val="00054546"/>
    <w:rsid w:val="000548A7"/>
    <w:rsid w:val="00054EC3"/>
    <w:rsid w:val="0005531E"/>
    <w:rsid w:val="00055BE6"/>
    <w:rsid w:val="00055CE5"/>
    <w:rsid w:val="000565BF"/>
    <w:rsid w:val="000577FE"/>
    <w:rsid w:val="00060900"/>
    <w:rsid w:val="000622FC"/>
    <w:rsid w:val="000636CB"/>
    <w:rsid w:val="0006388A"/>
    <w:rsid w:val="00063CB1"/>
    <w:rsid w:val="00064100"/>
    <w:rsid w:val="00065222"/>
    <w:rsid w:val="00065B42"/>
    <w:rsid w:val="00065C21"/>
    <w:rsid w:val="000663DA"/>
    <w:rsid w:val="00066720"/>
    <w:rsid w:val="000670C8"/>
    <w:rsid w:val="000672D4"/>
    <w:rsid w:val="00067513"/>
    <w:rsid w:val="00067540"/>
    <w:rsid w:val="00067628"/>
    <w:rsid w:val="00067770"/>
    <w:rsid w:val="00067B1A"/>
    <w:rsid w:val="00067E7F"/>
    <w:rsid w:val="000711E6"/>
    <w:rsid w:val="000713A8"/>
    <w:rsid w:val="00071FAC"/>
    <w:rsid w:val="00072076"/>
    <w:rsid w:val="000721B2"/>
    <w:rsid w:val="000728FF"/>
    <w:rsid w:val="00072F3D"/>
    <w:rsid w:val="00073D61"/>
    <w:rsid w:val="0007472D"/>
    <w:rsid w:val="0007609A"/>
    <w:rsid w:val="0007772E"/>
    <w:rsid w:val="00077965"/>
    <w:rsid w:val="0008085F"/>
    <w:rsid w:val="00080B41"/>
    <w:rsid w:val="00080CBA"/>
    <w:rsid w:val="00080D53"/>
    <w:rsid w:val="00081B8F"/>
    <w:rsid w:val="00082752"/>
    <w:rsid w:val="000833B1"/>
    <w:rsid w:val="00083874"/>
    <w:rsid w:val="00083DFD"/>
    <w:rsid w:val="00084391"/>
    <w:rsid w:val="00084494"/>
    <w:rsid w:val="00084A3F"/>
    <w:rsid w:val="00084B8E"/>
    <w:rsid w:val="00084E80"/>
    <w:rsid w:val="000861FB"/>
    <w:rsid w:val="00086709"/>
    <w:rsid w:val="0008747E"/>
    <w:rsid w:val="00087948"/>
    <w:rsid w:val="0009013A"/>
    <w:rsid w:val="000903EC"/>
    <w:rsid w:val="00092022"/>
    <w:rsid w:val="000928DE"/>
    <w:rsid w:val="00092978"/>
    <w:rsid w:val="00092CEB"/>
    <w:rsid w:val="00093709"/>
    <w:rsid w:val="00093BF7"/>
    <w:rsid w:val="00094203"/>
    <w:rsid w:val="0009433D"/>
    <w:rsid w:val="0009437E"/>
    <w:rsid w:val="000943DD"/>
    <w:rsid w:val="00095052"/>
    <w:rsid w:val="000952EE"/>
    <w:rsid w:val="00095528"/>
    <w:rsid w:val="00095915"/>
    <w:rsid w:val="00095FBE"/>
    <w:rsid w:val="00096793"/>
    <w:rsid w:val="0009701F"/>
    <w:rsid w:val="00097F2F"/>
    <w:rsid w:val="000A03F8"/>
    <w:rsid w:val="000A0487"/>
    <w:rsid w:val="000A1043"/>
    <w:rsid w:val="000A1800"/>
    <w:rsid w:val="000A1C73"/>
    <w:rsid w:val="000A35D6"/>
    <w:rsid w:val="000A3632"/>
    <w:rsid w:val="000A3653"/>
    <w:rsid w:val="000A496F"/>
    <w:rsid w:val="000A5A00"/>
    <w:rsid w:val="000A65B4"/>
    <w:rsid w:val="000A66CF"/>
    <w:rsid w:val="000A670D"/>
    <w:rsid w:val="000A6BA1"/>
    <w:rsid w:val="000A6C22"/>
    <w:rsid w:val="000A7139"/>
    <w:rsid w:val="000A7200"/>
    <w:rsid w:val="000A7BE1"/>
    <w:rsid w:val="000B0CDF"/>
    <w:rsid w:val="000B1569"/>
    <w:rsid w:val="000B20B3"/>
    <w:rsid w:val="000B2555"/>
    <w:rsid w:val="000B2BB8"/>
    <w:rsid w:val="000B2DD8"/>
    <w:rsid w:val="000B2FE6"/>
    <w:rsid w:val="000B390A"/>
    <w:rsid w:val="000B3EBF"/>
    <w:rsid w:val="000B46D3"/>
    <w:rsid w:val="000B48B9"/>
    <w:rsid w:val="000B4926"/>
    <w:rsid w:val="000B4943"/>
    <w:rsid w:val="000B640D"/>
    <w:rsid w:val="000B6B6B"/>
    <w:rsid w:val="000B7136"/>
    <w:rsid w:val="000B7181"/>
    <w:rsid w:val="000B7806"/>
    <w:rsid w:val="000B7BDC"/>
    <w:rsid w:val="000C0827"/>
    <w:rsid w:val="000C2CD1"/>
    <w:rsid w:val="000C31CA"/>
    <w:rsid w:val="000C372C"/>
    <w:rsid w:val="000C3ADB"/>
    <w:rsid w:val="000C517C"/>
    <w:rsid w:val="000C571D"/>
    <w:rsid w:val="000C5837"/>
    <w:rsid w:val="000C5DFB"/>
    <w:rsid w:val="000C5F39"/>
    <w:rsid w:val="000C621A"/>
    <w:rsid w:val="000C6A6F"/>
    <w:rsid w:val="000C7199"/>
    <w:rsid w:val="000C7650"/>
    <w:rsid w:val="000D01B7"/>
    <w:rsid w:val="000D0236"/>
    <w:rsid w:val="000D0DD2"/>
    <w:rsid w:val="000D127B"/>
    <w:rsid w:val="000D24CD"/>
    <w:rsid w:val="000D25B2"/>
    <w:rsid w:val="000D2A55"/>
    <w:rsid w:val="000D36F9"/>
    <w:rsid w:val="000D3EFC"/>
    <w:rsid w:val="000D4375"/>
    <w:rsid w:val="000D4955"/>
    <w:rsid w:val="000D4F54"/>
    <w:rsid w:val="000D50FB"/>
    <w:rsid w:val="000D67AB"/>
    <w:rsid w:val="000D6CF7"/>
    <w:rsid w:val="000D6F52"/>
    <w:rsid w:val="000D7542"/>
    <w:rsid w:val="000D7958"/>
    <w:rsid w:val="000D7ECE"/>
    <w:rsid w:val="000E044D"/>
    <w:rsid w:val="000E0454"/>
    <w:rsid w:val="000E05A7"/>
    <w:rsid w:val="000E12A9"/>
    <w:rsid w:val="000E140B"/>
    <w:rsid w:val="000E1AAE"/>
    <w:rsid w:val="000E1D17"/>
    <w:rsid w:val="000E2251"/>
    <w:rsid w:val="000E2DC1"/>
    <w:rsid w:val="000E3241"/>
    <w:rsid w:val="000E3484"/>
    <w:rsid w:val="000E3E1C"/>
    <w:rsid w:val="000E3F0C"/>
    <w:rsid w:val="000E3F7D"/>
    <w:rsid w:val="000E432B"/>
    <w:rsid w:val="000E4434"/>
    <w:rsid w:val="000E4687"/>
    <w:rsid w:val="000E594D"/>
    <w:rsid w:val="000E5F1F"/>
    <w:rsid w:val="000E607F"/>
    <w:rsid w:val="000E61F4"/>
    <w:rsid w:val="000E6781"/>
    <w:rsid w:val="000E7705"/>
    <w:rsid w:val="000E7A40"/>
    <w:rsid w:val="000F06CD"/>
    <w:rsid w:val="000F07AD"/>
    <w:rsid w:val="000F0C32"/>
    <w:rsid w:val="000F0F0C"/>
    <w:rsid w:val="000F18BB"/>
    <w:rsid w:val="000F2AD9"/>
    <w:rsid w:val="000F330E"/>
    <w:rsid w:val="000F36A1"/>
    <w:rsid w:val="000F4062"/>
    <w:rsid w:val="000F42F7"/>
    <w:rsid w:val="000F4435"/>
    <w:rsid w:val="000F4591"/>
    <w:rsid w:val="000F4C05"/>
    <w:rsid w:val="000F4D5A"/>
    <w:rsid w:val="000F679A"/>
    <w:rsid w:val="000F7522"/>
    <w:rsid w:val="000F7C97"/>
    <w:rsid w:val="0010023D"/>
    <w:rsid w:val="00100A5A"/>
    <w:rsid w:val="00100AF0"/>
    <w:rsid w:val="001010E2"/>
    <w:rsid w:val="0010133E"/>
    <w:rsid w:val="001014F7"/>
    <w:rsid w:val="00101BFE"/>
    <w:rsid w:val="00102320"/>
    <w:rsid w:val="0010389A"/>
    <w:rsid w:val="00104CE4"/>
    <w:rsid w:val="00104D59"/>
    <w:rsid w:val="00104F2B"/>
    <w:rsid w:val="00105A63"/>
    <w:rsid w:val="00106316"/>
    <w:rsid w:val="001064A0"/>
    <w:rsid w:val="00106F8C"/>
    <w:rsid w:val="001111CA"/>
    <w:rsid w:val="00111352"/>
    <w:rsid w:val="00112547"/>
    <w:rsid w:val="0011285E"/>
    <w:rsid w:val="0011341E"/>
    <w:rsid w:val="00113C5A"/>
    <w:rsid w:val="00114029"/>
    <w:rsid w:val="001144C3"/>
    <w:rsid w:val="0011467D"/>
    <w:rsid w:val="001157F7"/>
    <w:rsid w:val="00115C37"/>
    <w:rsid w:val="00115F05"/>
    <w:rsid w:val="001163AE"/>
    <w:rsid w:val="00116CCA"/>
    <w:rsid w:val="0012000D"/>
    <w:rsid w:val="001201D7"/>
    <w:rsid w:val="00120BC2"/>
    <w:rsid w:val="00120E4E"/>
    <w:rsid w:val="001210AD"/>
    <w:rsid w:val="00121303"/>
    <w:rsid w:val="00121666"/>
    <w:rsid w:val="00121A62"/>
    <w:rsid w:val="00121D9E"/>
    <w:rsid w:val="001220EC"/>
    <w:rsid w:val="00122143"/>
    <w:rsid w:val="00123692"/>
    <w:rsid w:val="001237C5"/>
    <w:rsid w:val="00123DA2"/>
    <w:rsid w:val="001253DB"/>
    <w:rsid w:val="001254AB"/>
    <w:rsid w:val="00126C44"/>
    <w:rsid w:val="00127423"/>
    <w:rsid w:val="00127D1B"/>
    <w:rsid w:val="00130CD5"/>
    <w:rsid w:val="00130DAE"/>
    <w:rsid w:val="001314B6"/>
    <w:rsid w:val="00131863"/>
    <w:rsid w:val="00131F08"/>
    <w:rsid w:val="00131F45"/>
    <w:rsid w:val="0013212F"/>
    <w:rsid w:val="00132C44"/>
    <w:rsid w:val="00132C50"/>
    <w:rsid w:val="00133203"/>
    <w:rsid w:val="001346E6"/>
    <w:rsid w:val="00135492"/>
    <w:rsid w:val="0013569E"/>
    <w:rsid w:val="00135F7D"/>
    <w:rsid w:val="00136214"/>
    <w:rsid w:val="00136AE5"/>
    <w:rsid w:val="00137B43"/>
    <w:rsid w:val="00137E28"/>
    <w:rsid w:val="0014054F"/>
    <w:rsid w:val="00140A9F"/>
    <w:rsid w:val="00140BDC"/>
    <w:rsid w:val="00140DB3"/>
    <w:rsid w:val="001415A1"/>
    <w:rsid w:val="00141969"/>
    <w:rsid w:val="001429E9"/>
    <w:rsid w:val="00142CDB"/>
    <w:rsid w:val="00142E89"/>
    <w:rsid w:val="00143832"/>
    <w:rsid w:val="00143B69"/>
    <w:rsid w:val="00143BB3"/>
    <w:rsid w:val="00143F32"/>
    <w:rsid w:val="00144775"/>
    <w:rsid w:val="001448B6"/>
    <w:rsid w:val="00145161"/>
    <w:rsid w:val="00145582"/>
    <w:rsid w:val="0014560F"/>
    <w:rsid w:val="00145FF0"/>
    <w:rsid w:val="0014609A"/>
    <w:rsid w:val="001470E8"/>
    <w:rsid w:val="00147A50"/>
    <w:rsid w:val="00150DF1"/>
    <w:rsid w:val="00151107"/>
    <w:rsid w:val="00151D04"/>
    <w:rsid w:val="00151FA3"/>
    <w:rsid w:val="0015220F"/>
    <w:rsid w:val="00152388"/>
    <w:rsid w:val="001529B2"/>
    <w:rsid w:val="00152FBB"/>
    <w:rsid w:val="00153072"/>
    <w:rsid w:val="0015324B"/>
    <w:rsid w:val="0015360E"/>
    <w:rsid w:val="001538E7"/>
    <w:rsid w:val="00153C5F"/>
    <w:rsid w:val="00153D9E"/>
    <w:rsid w:val="001543E2"/>
    <w:rsid w:val="00154558"/>
    <w:rsid w:val="001546B4"/>
    <w:rsid w:val="001556D2"/>
    <w:rsid w:val="0015597C"/>
    <w:rsid w:val="00155AED"/>
    <w:rsid w:val="00155C3B"/>
    <w:rsid w:val="00155CFD"/>
    <w:rsid w:val="00155FFE"/>
    <w:rsid w:val="001568DC"/>
    <w:rsid w:val="00157F37"/>
    <w:rsid w:val="00160080"/>
    <w:rsid w:val="00161AEA"/>
    <w:rsid w:val="00161CBD"/>
    <w:rsid w:val="001628E3"/>
    <w:rsid w:val="00163A26"/>
    <w:rsid w:val="00164000"/>
    <w:rsid w:val="00164029"/>
    <w:rsid w:val="00164792"/>
    <w:rsid w:val="00164C07"/>
    <w:rsid w:val="001655E0"/>
    <w:rsid w:val="00167D09"/>
    <w:rsid w:val="001711CE"/>
    <w:rsid w:val="0017229C"/>
    <w:rsid w:val="001722CB"/>
    <w:rsid w:val="00172EEF"/>
    <w:rsid w:val="0017339D"/>
    <w:rsid w:val="001734A7"/>
    <w:rsid w:val="00173961"/>
    <w:rsid w:val="00173AC7"/>
    <w:rsid w:val="00173B1C"/>
    <w:rsid w:val="001746F8"/>
    <w:rsid w:val="00174872"/>
    <w:rsid w:val="00174AE1"/>
    <w:rsid w:val="00175672"/>
    <w:rsid w:val="001808D5"/>
    <w:rsid w:val="0018175E"/>
    <w:rsid w:val="00181B3E"/>
    <w:rsid w:val="001820D2"/>
    <w:rsid w:val="00182714"/>
    <w:rsid w:val="00182C23"/>
    <w:rsid w:val="0018340D"/>
    <w:rsid w:val="0018356B"/>
    <w:rsid w:val="001837CA"/>
    <w:rsid w:val="001839AF"/>
    <w:rsid w:val="00183EE5"/>
    <w:rsid w:val="00184107"/>
    <w:rsid w:val="00184AE3"/>
    <w:rsid w:val="00184BBD"/>
    <w:rsid w:val="00184D4C"/>
    <w:rsid w:val="00184E63"/>
    <w:rsid w:val="0018585D"/>
    <w:rsid w:val="00185C12"/>
    <w:rsid w:val="00185C2F"/>
    <w:rsid w:val="0018778D"/>
    <w:rsid w:val="00190AA6"/>
    <w:rsid w:val="0019149F"/>
    <w:rsid w:val="001914B5"/>
    <w:rsid w:val="00191547"/>
    <w:rsid w:val="00191A0D"/>
    <w:rsid w:val="00191DF1"/>
    <w:rsid w:val="001931E8"/>
    <w:rsid w:val="00194960"/>
    <w:rsid w:val="00194D6B"/>
    <w:rsid w:val="00195000"/>
    <w:rsid w:val="00195EFB"/>
    <w:rsid w:val="00197C0F"/>
    <w:rsid w:val="001A0D13"/>
    <w:rsid w:val="001A1031"/>
    <w:rsid w:val="001A170B"/>
    <w:rsid w:val="001A1860"/>
    <w:rsid w:val="001A1D1C"/>
    <w:rsid w:val="001A1E22"/>
    <w:rsid w:val="001A216B"/>
    <w:rsid w:val="001A2188"/>
    <w:rsid w:val="001A2B8C"/>
    <w:rsid w:val="001A350F"/>
    <w:rsid w:val="001A355B"/>
    <w:rsid w:val="001A38C7"/>
    <w:rsid w:val="001A470C"/>
    <w:rsid w:val="001A4FF4"/>
    <w:rsid w:val="001A53A0"/>
    <w:rsid w:val="001A54FE"/>
    <w:rsid w:val="001A6322"/>
    <w:rsid w:val="001A787E"/>
    <w:rsid w:val="001B018C"/>
    <w:rsid w:val="001B1008"/>
    <w:rsid w:val="001B1349"/>
    <w:rsid w:val="001B148D"/>
    <w:rsid w:val="001B2236"/>
    <w:rsid w:val="001B3192"/>
    <w:rsid w:val="001B3A99"/>
    <w:rsid w:val="001B50E9"/>
    <w:rsid w:val="001B590D"/>
    <w:rsid w:val="001B5A33"/>
    <w:rsid w:val="001B6610"/>
    <w:rsid w:val="001B6A2B"/>
    <w:rsid w:val="001B7772"/>
    <w:rsid w:val="001C0D57"/>
    <w:rsid w:val="001C1544"/>
    <w:rsid w:val="001C1626"/>
    <w:rsid w:val="001C3452"/>
    <w:rsid w:val="001C34F8"/>
    <w:rsid w:val="001C3FF2"/>
    <w:rsid w:val="001C42CD"/>
    <w:rsid w:val="001C433E"/>
    <w:rsid w:val="001C4773"/>
    <w:rsid w:val="001C4EB9"/>
    <w:rsid w:val="001C4ED4"/>
    <w:rsid w:val="001C52A8"/>
    <w:rsid w:val="001C558A"/>
    <w:rsid w:val="001C659B"/>
    <w:rsid w:val="001C7200"/>
    <w:rsid w:val="001C7702"/>
    <w:rsid w:val="001C7DEA"/>
    <w:rsid w:val="001D101C"/>
    <w:rsid w:val="001D1694"/>
    <w:rsid w:val="001D1989"/>
    <w:rsid w:val="001D1FD3"/>
    <w:rsid w:val="001D2147"/>
    <w:rsid w:val="001D24B5"/>
    <w:rsid w:val="001D26BE"/>
    <w:rsid w:val="001D272F"/>
    <w:rsid w:val="001D2973"/>
    <w:rsid w:val="001D29B7"/>
    <w:rsid w:val="001D2F47"/>
    <w:rsid w:val="001D328A"/>
    <w:rsid w:val="001D3614"/>
    <w:rsid w:val="001D3A5D"/>
    <w:rsid w:val="001D3F0D"/>
    <w:rsid w:val="001D4433"/>
    <w:rsid w:val="001D468D"/>
    <w:rsid w:val="001D5806"/>
    <w:rsid w:val="001D6218"/>
    <w:rsid w:val="001D6564"/>
    <w:rsid w:val="001D6F06"/>
    <w:rsid w:val="001D739D"/>
    <w:rsid w:val="001D7CA7"/>
    <w:rsid w:val="001D7EB5"/>
    <w:rsid w:val="001E044E"/>
    <w:rsid w:val="001E0B37"/>
    <w:rsid w:val="001E14C5"/>
    <w:rsid w:val="001E1F75"/>
    <w:rsid w:val="001E3976"/>
    <w:rsid w:val="001E3C96"/>
    <w:rsid w:val="001E3EAB"/>
    <w:rsid w:val="001E451C"/>
    <w:rsid w:val="001E4B1B"/>
    <w:rsid w:val="001E4D1D"/>
    <w:rsid w:val="001E4F7E"/>
    <w:rsid w:val="001E55B7"/>
    <w:rsid w:val="001E6216"/>
    <w:rsid w:val="001E670F"/>
    <w:rsid w:val="001E7BB4"/>
    <w:rsid w:val="001F02C5"/>
    <w:rsid w:val="001F0FDC"/>
    <w:rsid w:val="001F12D7"/>
    <w:rsid w:val="001F169A"/>
    <w:rsid w:val="001F2167"/>
    <w:rsid w:val="001F21CF"/>
    <w:rsid w:val="001F2FFE"/>
    <w:rsid w:val="001F322A"/>
    <w:rsid w:val="001F3361"/>
    <w:rsid w:val="001F3366"/>
    <w:rsid w:val="001F36BC"/>
    <w:rsid w:val="001F36CA"/>
    <w:rsid w:val="001F3CB3"/>
    <w:rsid w:val="001F3EAC"/>
    <w:rsid w:val="001F40A2"/>
    <w:rsid w:val="001F4184"/>
    <w:rsid w:val="001F4668"/>
    <w:rsid w:val="001F54C7"/>
    <w:rsid w:val="001F56E5"/>
    <w:rsid w:val="001F5D1B"/>
    <w:rsid w:val="001F627D"/>
    <w:rsid w:val="001F6711"/>
    <w:rsid w:val="001F7FE6"/>
    <w:rsid w:val="002000EF"/>
    <w:rsid w:val="00200644"/>
    <w:rsid w:val="002009C7"/>
    <w:rsid w:val="00200B68"/>
    <w:rsid w:val="00200DBB"/>
    <w:rsid w:val="00200F36"/>
    <w:rsid w:val="00201EDF"/>
    <w:rsid w:val="002023C2"/>
    <w:rsid w:val="00202586"/>
    <w:rsid w:val="002030FD"/>
    <w:rsid w:val="00203925"/>
    <w:rsid w:val="00203B49"/>
    <w:rsid w:val="002044F2"/>
    <w:rsid w:val="00204626"/>
    <w:rsid w:val="00204CEA"/>
    <w:rsid w:val="00204D88"/>
    <w:rsid w:val="00206399"/>
    <w:rsid w:val="00206827"/>
    <w:rsid w:val="00206E37"/>
    <w:rsid w:val="00206FD6"/>
    <w:rsid w:val="002073EF"/>
    <w:rsid w:val="00207E2C"/>
    <w:rsid w:val="002103FA"/>
    <w:rsid w:val="00210C0B"/>
    <w:rsid w:val="002112AB"/>
    <w:rsid w:val="0021200B"/>
    <w:rsid w:val="00212311"/>
    <w:rsid w:val="00212348"/>
    <w:rsid w:val="002133CB"/>
    <w:rsid w:val="002134D9"/>
    <w:rsid w:val="00213834"/>
    <w:rsid w:val="00213B82"/>
    <w:rsid w:val="00214241"/>
    <w:rsid w:val="002144A7"/>
    <w:rsid w:val="00214EB3"/>
    <w:rsid w:val="00214F22"/>
    <w:rsid w:val="00215B1E"/>
    <w:rsid w:val="0021714C"/>
    <w:rsid w:val="00220460"/>
    <w:rsid w:val="00220AEB"/>
    <w:rsid w:val="0022126D"/>
    <w:rsid w:val="00221A68"/>
    <w:rsid w:val="00221A9C"/>
    <w:rsid w:val="00221ECE"/>
    <w:rsid w:val="0022221E"/>
    <w:rsid w:val="00222788"/>
    <w:rsid w:val="0022364F"/>
    <w:rsid w:val="00224E0C"/>
    <w:rsid w:val="0022520A"/>
    <w:rsid w:val="002270CA"/>
    <w:rsid w:val="0022775D"/>
    <w:rsid w:val="0022783A"/>
    <w:rsid w:val="00227A2B"/>
    <w:rsid w:val="002303F0"/>
    <w:rsid w:val="002308E5"/>
    <w:rsid w:val="00230B02"/>
    <w:rsid w:val="00230F6C"/>
    <w:rsid w:val="002314CA"/>
    <w:rsid w:val="00231861"/>
    <w:rsid w:val="00231D92"/>
    <w:rsid w:val="00232EF6"/>
    <w:rsid w:val="00232F8D"/>
    <w:rsid w:val="0023336B"/>
    <w:rsid w:val="002333CF"/>
    <w:rsid w:val="002334C8"/>
    <w:rsid w:val="002344CD"/>
    <w:rsid w:val="00235031"/>
    <w:rsid w:val="002350D3"/>
    <w:rsid w:val="002353DD"/>
    <w:rsid w:val="002353E4"/>
    <w:rsid w:val="00236BCB"/>
    <w:rsid w:val="00236E7F"/>
    <w:rsid w:val="00237090"/>
    <w:rsid w:val="00237364"/>
    <w:rsid w:val="00237657"/>
    <w:rsid w:val="00237A94"/>
    <w:rsid w:val="00237BFC"/>
    <w:rsid w:val="002408DF"/>
    <w:rsid w:val="00240938"/>
    <w:rsid w:val="00240E0E"/>
    <w:rsid w:val="00240F37"/>
    <w:rsid w:val="00241F5D"/>
    <w:rsid w:val="00242303"/>
    <w:rsid w:val="00243A51"/>
    <w:rsid w:val="00243B50"/>
    <w:rsid w:val="00243E19"/>
    <w:rsid w:val="00244507"/>
    <w:rsid w:val="002449AA"/>
    <w:rsid w:val="00244D21"/>
    <w:rsid w:val="00245B0D"/>
    <w:rsid w:val="00245E58"/>
    <w:rsid w:val="0024674D"/>
    <w:rsid w:val="002474DE"/>
    <w:rsid w:val="00247C6A"/>
    <w:rsid w:val="00251057"/>
    <w:rsid w:val="00251376"/>
    <w:rsid w:val="002514A8"/>
    <w:rsid w:val="00251ED2"/>
    <w:rsid w:val="002528E7"/>
    <w:rsid w:val="00252E1D"/>
    <w:rsid w:val="002532AC"/>
    <w:rsid w:val="002539DC"/>
    <w:rsid w:val="00254A1F"/>
    <w:rsid w:val="002551D0"/>
    <w:rsid w:val="00255262"/>
    <w:rsid w:val="002553E4"/>
    <w:rsid w:val="0025561B"/>
    <w:rsid w:val="00255F1E"/>
    <w:rsid w:val="00256558"/>
    <w:rsid w:val="002571B5"/>
    <w:rsid w:val="0025738F"/>
    <w:rsid w:val="00257EB4"/>
    <w:rsid w:val="00257F6D"/>
    <w:rsid w:val="0026004A"/>
    <w:rsid w:val="00260F19"/>
    <w:rsid w:val="0026175F"/>
    <w:rsid w:val="00261FA8"/>
    <w:rsid w:val="002626B7"/>
    <w:rsid w:val="00262E1E"/>
    <w:rsid w:val="00263C2D"/>
    <w:rsid w:val="00263C61"/>
    <w:rsid w:val="0026570F"/>
    <w:rsid w:val="00265B2B"/>
    <w:rsid w:val="00265E2E"/>
    <w:rsid w:val="00265F8C"/>
    <w:rsid w:val="00266604"/>
    <w:rsid w:val="00266737"/>
    <w:rsid w:val="00266A6B"/>
    <w:rsid w:val="00266CEB"/>
    <w:rsid w:val="00267408"/>
    <w:rsid w:val="0026778E"/>
    <w:rsid w:val="00270771"/>
    <w:rsid w:val="00270850"/>
    <w:rsid w:val="002714E9"/>
    <w:rsid w:val="002717D9"/>
    <w:rsid w:val="00271885"/>
    <w:rsid w:val="0027220A"/>
    <w:rsid w:val="002725CB"/>
    <w:rsid w:val="00273896"/>
    <w:rsid w:val="00273C16"/>
    <w:rsid w:val="002742F9"/>
    <w:rsid w:val="00274C8D"/>
    <w:rsid w:val="00274EE5"/>
    <w:rsid w:val="00275405"/>
    <w:rsid w:val="002770E5"/>
    <w:rsid w:val="0027723C"/>
    <w:rsid w:val="00277D1E"/>
    <w:rsid w:val="00277DA7"/>
    <w:rsid w:val="00280533"/>
    <w:rsid w:val="00280C30"/>
    <w:rsid w:val="00281413"/>
    <w:rsid w:val="00281CB8"/>
    <w:rsid w:val="0028286F"/>
    <w:rsid w:val="002834F9"/>
    <w:rsid w:val="00283BB9"/>
    <w:rsid w:val="00283FE6"/>
    <w:rsid w:val="002845C2"/>
    <w:rsid w:val="00284979"/>
    <w:rsid w:val="002851F6"/>
    <w:rsid w:val="00285A74"/>
    <w:rsid w:val="00286057"/>
    <w:rsid w:val="002866B0"/>
    <w:rsid w:val="00286822"/>
    <w:rsid w:val="002872AD"/>
    <w:rsid w:val="00287485"/>
    <w:rsid w:val="002930ED"/>
    <w:rsid w:val="002934D2"/>
    <w:rsid w:val="00293903"/>
    <w:rsid w:val="0029408E"/>
    <w:rsid w:val="00294A95"/>
    <w:rsid w:val="00294CBD"/>
    <w:rsid w:val="00294F9A"/>
    <w:rsid w:val="00296A31"/>
    <w:rsid w:val="00297215"/>
    <w:rsid w:val="0029762E"/>
    <w:rsid w:val="002A022B"/>
    <w:rsid w:val="002A0842"/>
    <w:rsid w:val="002A0866"/>
    <w:rsid w:val="002A0F6D"/>
    <w:rsid w:val="002A108A"/>
    <w:rsid w:val="002A144F"/>
    <w:rsid w:val="002A1A24"/>
    <w:rsid w:val="002A223E"/>
    <w:rsid w:val="002A242A"/>
    <w:rsid w:val="002A26B2"/>
    <w:rsid w:val="002A315E"/>
    <w:rsid w:val="002A33FC"/>
    <w:rsid w:val="002A342D"/>
    <w:rsid w:val="002A3B85"/>
    <w:rsid w:val="002A3ED0"/>
    <w:rsid w:val="002A3F1F"/>
    <w:rsid w:val="002A4113"/>
    <w:rsid w:val="002A5CA4"/>
    <w:rsid w:val="002A6397"/>
    <w:rsid w:val="002A6B45"/>
    <w:rsid w:val="002A6F2B"/>
    <w:rsid w:val="002A7E48"/>
    <w:rsid w:val="002A7F58"/>
    <w:rsid w:val="002B1EFD"/>
    <w:rsid w:val="002B262A"/>
    <w:rsid w:val="002B2D13"/>
    <w:rsid w:val="002B2E88"/>
    <w:rsid w:val="002B5735"/>
    <w:rsid w:val="002B5946"/>
    <w:rsid w:val="002B62BD"/>
    <w:rsid w:val="002B6508"/>
    <w:rsid w:val="002B717E"/>
    <w:rsid w:val="002B7CCA"/>
    <w:rsid w:val="002C02C1"/>
    <w:rsid w:val="002C0692"/>
    <w:rsid w:val="002C257B"/>
    <w:rsid w:val="002C33CA"/>
    <w:rsid w:val="002C3846"/>
    <w:rsid w:val="002C3C86"/>
    <w:rsid w:val="002C3CE5"/>
    <w:rsid w:val="002C4793"/>
    <w:rsid w:val="002C4AEF"/>
    <w:rsid w:val="002C51C7"/>
    <w:rsid w:val="002C5265"/>
    <w:rsid w:val="002C55F1"/>
    <w:rsid w:val="002C5EF2"/>
    <w:rsid w:val="002C6E56"/>
    <w:rsid w:val="002D0126"/>
    <w:rsid w:val="002D0278"/>
    <w:rsid w:val="002D05BF"/>
    <w:rsid w:val="002D16F9"/>
    <w:rsid w:val="002D1FCD"/>
    <w:rsid w:val="002D1FEC"/>
    <w:rsid w:val="002D2405"/>
    <w:rsid w:val="002D2DE3"/>
    <w:rsid w:val="002D3632"/>
    <w:rsid w:val="002D478D"/>
    <w:rsid w:val="002D4D05"/>
    <w:rsid w:val="002D4E1E"/>
    <w:rsid w:val="002D4F54"/>
    <w:rsid w:val="002D50DD"/>
    <w:rsid w:val="002D51DF"/>
    <w:rsid w:val="002D565E"/>
    <w:rsid w:val="002D5D98"/>
    <w:rsid w:val="002D6836"/>
    <w:rsid w:val="002D70C7"/>
    <w:rsid w:val="002D75A5"/>
    <w:rsid w:val="002D79F4"/>
    <w:rsid w:val="002E002A"/>
    <w:rsid w:val="002E06E0"/>
    <w:rsid w:val="002E085A"/>
    <w:rsid w:val="002E0A6F"/>
    <w:rsid w:val="002E2862"/>
    <w:rsid w:val="002E2E3A"/>
    <w:rsid w:val="002E3427"/>
    <w:rsid w:val="002E49EC"/>
    <w:rsid w:val="002E5DA9"/>
    <w:rsid w:val="002E6255"/>
    <w:rsid w:val="002E6329"/>
    <w:rsid w:val="002E661B"/>
    <w:rsid w:val="002E66E0"/>
    <w:rsid w:val="002E7163"/>
    <w:rsid w:val="002E7AC8"/>
    <w:rsid w:val="002F20CE"/>
    <w:rsid w:val="002F2164"/>
    <w:rsid w:val="002F2907"/>
    <w:rsid w:val="002F2A6D"/>
    <w:rsid w:val="002F2BB6"/>
    <w:rsid w:val="002F2D84"/>
    <w:rsid w:val="002F4D18"/>
    <w:rsid w:val="002F50C6"/>
    <w:rsid w:val="002F58BD"/>
    <w:rsid w:val="002F5B01"/>
    <w:rsid w:val="002F67F7"/>
    <w:rsid w:val="002F6BDA"/>
    <w:rsid w:val="002F7353"/>
    <w:rsid w:val="002F758F"/>
    <w:rsid w:val="002F7A27"/>
    <w:rsid w:val="002F7ACA"/>
    <w:rsid w:val="00300244"/>
    <w:rsid w:val="00300C70"/>
    <w:rsid w:val="00300EDF"/>
    <w:rsid w:val="00301183"/>
    <w:rsid w:val="00301AC7"/>
    <w:rsid w:val="00302006"/>
    <w:rsid w:val="003022AB"/>
    <w:rsid w:val="00302B68"/>
    <w:rsid w:val="00302F29"/>
    <w:rsid w:val="00303746"/>
    <w:rsid w:val="00303DB0"/>
    <w:rsid w:val="00303E86"/>
    <w:rsid w:val="00304499"/>
    <w:rsid w:val="00304D32"/>
    <w:rsid w:val="00304E02"/>
    <w:rsid w:val="0030597D"/>
    <w:rsid w:val="00306548"/>
    <w:rsid w:val="00307242"/>
    <w:rsid w:val="00310637"/>
    <w:rsid w:val="003111E6"/>
    <w:rsid w:val="003114D1"/>
    <w:rsid w:val="0031186C"/>
    <w:rsid w:val="00312000"/>
    <w:rsid w:val="00312824"/>
    <w:rsid w:val="003128FA"/>
    <w:rsid w:val="00314B3A"/>
    <w:rsid w:val="00314F0B"/>
    <w:rsid w:val="003154D9"/>
    <w:rsid w:val="0031572B"/>
    <w:rsid w:val="00316F58"/>
    <w:rsid w:val="003175EA"/>
    <w:rsid w:val="003177DA"/>
    <w:rsid w:val="00317EE6"/>
    <w:rsid w:val="00317F48"/>
    <w:rsid w:val="00317F88"/>
    <w:rsid w:val="003200A1"/>
    <w:rsid w:val="003208C0"/>
    <w:rsid w:val="00321243"/>
    <w:rsid w:val="00321ADB"/>
    <w:rsid w:val="00322091"/>
    <w:rsid w:val="00322D66"/>
    <w:rsid w:val="00323196"/>
    <w:rsid w:val="003231E7"/>
    <w:rsid w:val="003233BB"/>
    <w:rsid w:val="003248BA"/>
    <w:rsid w:val="00324E0E"/>
    <w:rsid w:val="0032510F"/>
    <w:rsid w:val="00326117"/>
    <w:rsid w:val="003268BD"/>
    <w:rsid w:val="0032692C"/>
    <w:rsid w:val="00326D44"/>
    <w:rsid w:val="0032773A"/>
    <w:rsid w:val="003277BE"/>
    <w:rsid w:val="00330AED"/>
    <w:rsid w:val="003313F3"/>
    <w:rsid w:val="003318C7"/>
    <w:rsid w:val="00331F60"/>
    <w:rsid w:val="003321F8"/>
    <w:rsid w:val="00333BA7"/>
    <w:rsid w:val="00333E05"/>
    <w:rsid w:val="0033424A"/>
    <w:rsid w:val="003347A1"/>
    <w:rsid w:val="00337B37"/>
    <w:rsid w:val="0034043D"/>
    <w:rsid w:val="0034081C"/>
    <w:rsid w:val="0034082F"/>
    <w:rsid w:val="003412EE"/>
    <w:rsid w:val="00341EE1"/>
    <w:rsid w:val="00342F4E"/>
    <w:rsid w:val="0034390C"/>
    <w:rsid w:val="00343B22"/>
    <w:rsid w:val="00343BA5"/>
    <w:rsid w:val="00343C2B"/>
    <w:rsid w:val="003445FA"/>
    <w:rsid w:val="0034488E"/>
    <w:rsid w:val="00344B4C"/>
    <w:rsid w:val="00345C12"/>
    <w:rsid w:val="00345F7C"/>
    <w:rsid w:val="00346084"/>
    <w:rsid w:val="0034653A"/>
    <w:rsid w:val="003470B1"/>
    <w:rsid w:val="00347566"/>
    <w:rsid w:val="003508DB"/>
    <w:rsid w:val="003510D8"/>
    <w:rsid w:val="0035129F"/>
    <w:rsid w:val="0035178A"/>
    <w:rsid w:val="00352383"/>
    <w:rsid w:val="00353473"/>
    <w:rsid w:val="0035385C"/>
    <w:rsid w:val="00353F01"/>
    <w:rsid w:val="00353FB6"/>
    <w:rsid w:val="00354351"/>
    <w:rsid w:val="0035483D"/>
    <w:rsid w:val="00354929"/>
    <w:rsid w:val="00354B77"/>
    <w:rsid w:val="00354E12"/>
    <w:rsid w:val="00355101"/>
    <w:rsid w:val="00356049"/>
    <w:rsid w:val="00356C0B"/>
    <w:rsid w:val="003570B8"/>
    <w:rsid w:val="00357674"/>
    <w:rsid w:val="00357E76"/>
    <w:rsid w:val="00360EC7"/>
    <w:rsid w:val="0036113B"/>
    <w:rsid w:val="00361394"/>
    <w:rsid w:val="003616F4"/>
    <w:rsid w:val="003618D5"/>
    <w:rsid w:val="0036198E"/>
    <w:rsid w:val="00362247"/>
    <w:rsid w:val="00363979"/>
    <w:rsid w:val="00363CDD"/>
    <w:rsid w:val="003642B7"/>
    <w:rsid w:val="00364687"/>
    <w:rsid w:val="00364B1B"/>
    <w:rsid w:val="00364D60"/>
    <w:rsid w:val="00365019"/>
    <w:rsid w:val="0036503C"/>
    <w:rsid w:val="003654D3"/>
    <w:rsid w:val="0036571A"/>
    <w:rsid w:val="00365A27"/>
    <w:rsid w:val="0036612D"/>
    <w:rsid w:val="0036667D"/>
    <w:rsid w:val="0036679E"/>
    <w:rsid w:val="00366D03"/>
    <w:rsid w:val="00366D95"/>
    <w:rsid w:val="0036758C"/>
    <w:rsid w:val="0036793A"/>
    <w:rsid w:val="003679EC"/>
    <w:rsid w:val="00367CA7"/>
    <w:rsid w:val="003709B4"/>
    <w:rsid w:val="00371193"/>
    <w:rsid w:val="0037190D"/>
    <w:rsid w:val="0037192D"/>
    <w:rsid w:val="00371963"/>
    <w:rsid w:val="00372301"/>
    <w:rsid w:val="003724C9"/>
    <w:rsid w:val="00372C0F"/>
    <w:rsid w:val="00373057"/>
    <w:rsid w:val="00373949"/>
    <w:rsid w:val="003741C4"/>
    <w:rsid w:val="003742C1"/>
    <w:rsid w:val="0037469F"/>
    <w:rsid w:val="00374A96"/>
    <w:rsid w:val="003757F6"/>
    <w:rsid w:val="00375CF0"/>
    <w:rsid w:val="00375E71"/>
    <w:rsid w:val="00375F74"/>
    <w:rsid w:val="003760EC"/>
    <w:rsid w:val="0037691D"/>
    <w:rsid w:val="003769DE"/>
    <w:rsid w:val="00377A0D"/>
    <w:rsid w:val="00377D9C"/>
    <w:rsid w:val="00380B07"/>
    <w:rsid w:val="00380DAA"/>
    <w:rsid w:val="00381667"/>
    <w:rsid w:val="0038189F"/>
    <w:rsid w:val="0038248C"/>
    <w:rsid w:val="00382540"/>
    <w:rsid w:val="00383197"/>
    <w:rsid w:val="00383E5F"/>
    <w:rsid w:val="00383F62"/>
    <w:rsid w:val="00384FCB"/>
    <w:rsid w:val="00385132"/>
    <w:rsid w:val="00385C4B"/>
    <w:rsid w:val="00385CF5"/>
    <w:rsid w:val="00385E85"/>
    <w:rsid w:val="00386721"/>
    <w:rsid w:val="00386B82"/>
    <w:rsid w:val="00386E2D"/>
    <w:rsid w:val="00386FFF"/>
    <w:rsid w:val="00387C09"/>
    <w:rsid w:val="00387D12"/>
    <w:rsid w:val="00390196"/>
    <w:rsid w:val="00390463"/>
    <w:rsid w:val="00391774"/>
    <w:rsid w:val="00391AC6"/>
    <w:rsid w:val="00391F8C"/>
    <w:rsid w:val="00392800"/>
    <w:rsid w:val="00392B9E"/>
    <w:rsid w:val="00392D58"/>
    <w:rsid w:val="003937A8"/>
    <w:rsid w:val="00393824"/>
    <w:rsid w:val="003944D7"/>
    <w:rsid w:val="00394EB1"/>
    <w:rsid w:val="0039502A"/>
    <w:rsid w:val="00395670"/>
    <w:rsid w:val="00395A17"/>
    <w:rsid w:val="00395FA8"/>
    <w:rsid w:val="00396218"/>
    <w:rsid w:val="0039658A"/>
    <w:rsid w:val="0039663C"/>
    <w:rsid w:val="00397036"/>
    <w:rsid w:val="00397046"/>
    <w:rsid w:val="00397645"/>
    <w:rsid w:val="00397E24"/>
    <w:rsid w:val="00397FE6"/>
    <w:rsid w:val="003A0505"/>
    <w:rsid w:val="003A1955"/>
    <w:rsid w:val="003A26EC"/>
    <w:rsid w:val="003A3047"/>
    <w:rsid w:val="003A43A9"/>
    <w:rsid w:val="003A4CA9"/>
    <w:rsid w:val="003A56AC"/>
    <w:rsid w:val="003A58E6"/>
    <w:rsid w:val="003A62B8"/>
    <w:rsid w:val="003A63EA"/>
    <w:rsid w:val="003A6C2B"/>
    <w:rsid w:val="003A6F2E"/>
    <w:rsid w:val="003A6F62"/>
    <w:rsid w:val="003A6FC2"/>
    <w:rsid w:val="003A75B2"/>
    <w:rsid w:val="003A7697"/>
    <w:rsid w:val="003B13FE"/>
    <w:rsid w:val="003B1562"/>
    <w:rsid w:val="003B1590"/>
    <w:rsid w:val="003B16DD"/>
    <w:rsid w:val="003B1762"/>
    <w:rsid w:val="003B1C44"/>
    <w:rsid w:val="003B1CF7"/>
    <w:rsid w:val="003B2690"/>
    <w:rsid w:val="003B2FD8"/>
    <w:rsid w:val="003B30B9"/>
    <w:rsid w:val="003B3A84"/>
    <w:rsid w:val="003B4014"/>
    <w:rsid w:val="003B44CE"/>
    <w:rsid w:val="003B4775"/>
    <w:rsid w:val="003B4A16"/>
    <w:rsid w:val="003B4BEF"/>
    <w:rsid w:val="003B587E"/>
    <w:rsid w:val="003B592B"/>
    <w:rsid w:val="003B5D3A"/>
    <w:rsid w:val="003B5EFA"/>
    <w:rsid w:val="003B62F5"/>
    <w:rsid w:val="003B6CA5"/>
    <w:rsid w:val="003B770C"/>
    <w:rsid w:val="003B78C6"/>
    <w:rsid w:val="003B7C50"/>
    <w:rsid w:val="003B7D7A"/>
    <w:rsid w:val="003B7E8E"/>
    <w:rsid w:val="003C053B"/>
    <w:rsid w:val="003C09AD"/>
    <w:rsid w:val="003C0F1B"/>
    <w:rsid w:val="003C185A"/>
    <w:rsid w:val="003C1DED"/>
    <w:rsid w:val="003C2663"/>
    <w:rsid w:val="003C26CC"/>
    <w:rsid w:val="003C2721"/>
    <w:rsid w:val="003C2D06"/>
    <w:rsid w:val="003C3286"/>
    <w:rsid w:val="003C3E8D"/>
    <w:rsid w:val="003C402F"/>
    <w:rsid w:val="003C4FFD"/>
    <w:rsid w:val="003C5501"/>
    <w:rsid w:val="003C598D"/>
    <w:rsid w:val="003C5C7C"/>
    <w:rsid w:val="003C5D1E"/>
    <w:rsid w:val="003C6A5C"/>
    <w:rsid w:val="003D12A6"/>
    <w:rsid w:val="003D346F"/>
    <w:rsid w:val="003D3760"/>
    <w:rsid w:val="003D4162"/>
    <w:rsid w:val="003D4450"/>
    <w:rsid w:val="003D5594"/>
    <w:rsid w:val="003D55F8"/>
    <w:rsid w:val="003D567D"/>
    <w:rsid w:val="003D567E"/>
    <w:rsid w:val="003D575E"/>
    <w:rsid w:val="003D5AA7"/>
    <w:rsid w:val="003D5D28"/>
    <w:rsid w:val="003E014B"/>
    <w:rsid w:val="003E077B"/>
    <w:rsid w:val="003E0B2D"/>
    <w:rsid w:val="003E0D3B"/>
    <w:rsid w:val="003E1AB0"/>
    <w:rsid w:val="003E2FED"/>
    <w:rsid w:val="003E3474"/>
    <w:rsid w:val="003E4822"/>
    <w:rsid w:val="003E4CC7"/>
    <w:rsid w:val="003E4CD6"/>
    <w:rsid w:val="003E4D97"/>
    <w:rsid w:val="003E5C5B"/>
    <w:rsid w:val="003E61BE"/>
    <w:rsid w:val="003E746B"/>
    <w:rsid w:val="003E7A41"/>
    <w:rsid w:val="003F0202"/>
    <w:rsid w:val="003F0B87"/>
    <w:rsid w:val="003F1592"/>
    <w:rsid w:val="003F1DF0"/>
    <w:rsid w:val="003F23FB"/>
    <w:rsid w:val="003F28B8"/>
    <w:rsid w:val="003F2BEC"/>
    <w:rsid w:val="003F2D1A"/>
    <w:rsid w:val="003F2E5A"/>
    <w:rsid w:val="003F3839"/>
    <w:rsid w:val="003F41CE"/>
    <w:rsid w:val="003F5418"/>
    <w:rsid w:val="003F6823"/>
    <w:rsid w:val="003F68A0"/>
    <w:rsid w:val="003F70A3"/>
    <w:rsid w:val="003F76E1"/>
    <w:rsid w:val="0040079B"/>
    <w:rsid w:val="00400AC4"/>
    <w:rsid w:val="00401C3A"/>
    <w:rsid w:val="00402707"/>
    <w:rsid w:val="00402C24"/>
    <w:rsid w:val="00403015"/>
    <w:rsid w:val="004034D4"/>
    <w:rsid w:val="00404487"/>
    <w:rsid w:val="0040483A"/>
    <w:rsid w:val="004051D5"/>
    <w:rsid w:val="0040529E"/>
    <w:rsid w:val="004056A6"/>
    <w:rsid w:val="00405BF8"/>
    <w:rsid w:val="00405F0D"/>
    <w:rsid w:val="0040608A"/>
    <w:rsid w:val="00406956"/>
    <w:rsid w:val="00406EEE"/>
    <w:rsid w:val="00407C61"/>
    <w:rsid w:val="004101C9"/>
    <w:rsid w:val="0041021A"/>
    <w:rsid w:val="00414CB1"/>
    <w:rsid w:val="00414CE5"/>
    <w:rsid w:val="0041635C"/>
    <w:rsid w:val="00416AD5"/>
    <w:rsid w:val="004174D7"/>
    <w:rsid w:val="00417BE4"/>
    <w:rsid w:val="00417FB8"/>
    <w:rsid w:val="0042060A"/>
    <w:rsid w:val="004208F9"/>
    <w:rsid w:val="00420E62"/>
    <w:rsid w:val="00420F87"/>
    <w:rsid w:val="0042164F"/>
    <w:rsid w:val="0042222A"/>
    <w:rsid w:val="00422360"/>
    <w:rsid w:val="00422D0F"/>
    <w:rsid w:val="00423688"/>
    <w:rsid w:val="00423709"/>
    <w:rsid w:val="00423B5F"/>
    <w:rsid w:val="00426067"/>
    <w:rsid w:val="004260CF"/>
    <w:rsid w:val="00426E52"/>
    <w:rsid w:val="0042711C"/>
    <w:rsid w:val="00427BC7"/>
    <w:rsid w:val="00430721"/>
    <w:rsid w:val="004309FF"/>
    <w:rsid w:val="00430FF8"/>
    <w:rsid w:val="004314A1"/>
    <w:rsid w:val="004324B5"/>
    <w:rsid w:val="00432D06"/>
    <w:rsid w:val="00433AA2"/>
    <w:rsid w:val="00433D63"/>
    <w:rsid w:val="00434629"/>
    <w:rsid w:val="00434E7C"/>
    <w:rsid w:val="00434E92"/>
    <w:rsid w:val="00435156"/>
    <w:rsid w:val="00435953"/>
    <w:rsid w:val="00436880"/>
    <w:rsid w:val="00437276"/>
    <w:rsid w:val="004374BB"/>
    <w:rsid w:val="00437FDA"/>
    <w:rsid w:val="0044002D"/>
    <w:rsid w:val="004402A3"/>
    <w:rsid w:val="0044070E"/>
    <w:rsid w:val="00442681"/>
    <w:rsid w:val="00442728"/>
    <w:rsid w:val="0044288C"/>
    <w:rsid w:val="0044299A"/>
    <w:rsid w:val="00443297"/>
    <w:rsid w:val="004432F0"/>
    <w:rsid w:val="004435B7"/>
    <w:rsid w:val="00443CB0"/>
    <w:rsid w:val="00443FA0"/>
    <w:rsid w:val="00444A5A"/>
    <w:rsid w:val="00444BCD"/>
    <w:rsid w:val="00445F48"/>
    <w:rsid w:val="00446765"/>
    <w:rsid w:val="00446841"/>
    <w:rsid w:val="00446ED2"/>
    <w:rsid w:val="00447485"/>
    <w:rsid w:val="00447EDE"/>
    <w:rsid w:val="0045038F"/>
    <w:rsid w:val="00450D88"/>
    <w:rsid w:val="00451229"/>
    <w:rsid w:val="004515EC"/>
    <w:rsid w:val="004518E3"/>
    <w:rsid w:val="00452183"/>
    <w:rsid w:val="00453050"/>
    <w:rsid w:val="0045354A"/>
    <w:rsid w:val="00453C39"/>
    <w:rsid w:val="00453FC5"/>
    <w:rsid w:val="0045425E"/>
    <w:rsid w:val="004543CD"/>
    <w:rsid w:val="00455507"/>
    <w:rsid w:val="00455DE5"/>
    <w:rsid w:val="00455E9F"/>
    <w:rsid w:val="00456F18"/>
    <w:rsid w:val="00456F2F"/>
    <w:rsid w:val="0045721E"/>
    <w:rsid w:val="004574C4"/>
    <w:rsid w:val="004579A1"/>
    <w:rsid w:val="00457A89"/>
    <w:rsid w:val="00457D9F"/>
    <w:rsid w:val="0046028C"/>
    <w:rsid w:val="00460711"/>
    <w:rsid w:val="00460A2A"/>
    <w:rsid w:val="00461243"/>
    <w:rsid w:val="00461513"/>
    <w:rsid w:val="0046225E"/>
    <w:rsid w:val="00462703"/>
    <w:rsid w:val="00463CBF"/>
    <w:rsid w:val="00464081"/>
    <w:rsid w:val="00464331"/>
    <w:rsid w:val="004649D8"/>
    <w:rsid w:val="004651E9"/>
    <w:rsid w:val="00466369"/>
    <w:rsid w:val="004663AC"/>
    <w:rsid w:val="0046778E"/>
    <w:rsid w:val="00467E9A"/>
    <w:rsid w:val="00470098"/>
    <w:rsid w:val="0047064E"/>
    <w:rsid w:val="00470C7F"/>
    <w:rsid w:val="004710C9"/>
    <w:rsid w:val="004714A1"/>
    <w:rsid w:val="00471DF2"/>
    <w:rsid w:val="00471E8D"/>
    <w:rsid w:val="00471F4B"/>
    <w:rsid w:val="004723DD"/>
    <w:rsid w:val="00472AE6"/>
    <w:rsid w:val="0047359C"/>
    <w:rsid w:val="004735D1"/>
    <w:rsid w:val="00473949"/>
    <w:rsid w:val="00473E46"/>
    <w:rsid w:val="00474407"/>
    <w:rsid w:val="004747A5"/>
    <w:rsid w:val="00474825"/>
    <w:rsid w:val="00474EAC"/>
    <w:rsid w:val="0047567C"/>
    <w:rsid w:val="00475CB0"/>
    <w:rsid w:val="0047658B"/>
    <w:rsid w:val="00476D50"/>
    <w:rsid w:val="004775E5"/>
    <w:rsid w:val="00480A5E"/>
    <w:rsid w:val="00480B0A"/>
    <w:rsid w:val="00480BE9"/>
    <w:rsid w:val="00480CF2"/>
    <w:rsid w:val="00481023"/>
    <w:rsid w:val="00482CD1"/>
    <w:rsid w:val="004836B5"/>
    <w:rsid w:val="00483A55"/>
    <w:rsid w:val="00483C06"/>
    <w:rsid w:val="004854DD"/>
    <w:rsid w:val="004854FC"/>
    <w:rsid w:val="00485E37"/>
    <w:rsid w:val="00486213"/>
    <w:rsid w:val="0048633A"/>
    <w:rsid w:val="00486485"/>
    <w:rsid w:val="004868D4"/>
    <w:rsid w:val="00486AE2"/>
    <w:rsid w:val="00486D08"/>
    <w:rsid w:val="004879DB"/>
    <w:rsid w:val="00487E35"/>
    <w:rsid w:val="00490166"/>
    <w:rsid w:val="004907DB"/>
    <w:rsid w:val="00491049"/>
    <w:rsid w:val="0049147C"/>
    <w:rsid w:val="00491CCC"/>
    <w:rsid w:val="00492A04"/>
    <w:rsid w:val="004937A2"/>
    <w:rsid w:val="00493EFA"/>
    <w:rsid w:val="00493F71"/>
    <w:rsid w:val="00494653"/>
    <w:rsid w:val="00494A34"/>
    <w:rsid w:val="00495326"/>
    <w:rsid w:val="00495711"/>
    <w:rsid w:val="00495A39"/>
    <w:rsid w:val="00495DF8"/>
    <w:rsid w:val="004960B6"/>
    <w:rsid w:val="00496358"/>
    <w:rsid w:val="0049761C"/>
    <w:rsid w:val="00497E11"/>
    <w:rsid w:val="004A01EE"/>
    <w:rsid w:val="004A0A7A"/>
    <w:rsid w:val="004A0FC8"/>
    <w:rsid w:val="004A19CC"/>
    <w:rsid w:val="004A1AED"/>
    <w:rsid w:val="004A1F1F"/>
    <w:rsid w:val="004A21D2"/>
    <w:rsid w:val="004A2457"/>
    <w:rsid w:val="004A2D5A"/>
    <w:rsid w:val="004A2DDD"/>
    <w:rsid w:val="004A2F59"/>
    <w:rsid w:val="004A3788"/>
    <w:rsid w:val="004A39C9"/>
    <w:rsid w:val="004A3A9D"/>
    <w:rsid w:val="004A478C"/>
    <w:rsid w:val="004A491B"/>
    <w:rsid w:val="004A5972"/>
    <w:rsid w:val="004A6C4E"/>
    <w:rsid w:val="004A770A"/>
    <w:rsid w:val="004A77E2"/>
    <w:rsid w:val="004A7CB9"/>
    <w:rsid w:val="004B0DD0"/>
    <w:rsid w:val="004B1F5F"/>
    <w:rsid w:val="004B2297"/>
    <w:rsid w:val="004B2734"/>
    <w:rsid w:val="004B3AEA"/>
    <w:rsid w:val="004B3CE5"/>
    <w:rsid w:val="004B4157"/>
    <w:rsid w:val="004B41DE"/>
    <w:rsid w:val="004B49B5"/>
    <w:rsid w:val="004B4C9C"/>
    <w:rsid w:val="004B4DC5"/>
    <w:rsid w:val="004B513D"/>
    <w:rsid w:val="004B575C"/>
    <w:rsid w:val="004B5941"/>
    <w:rsid w:val="004B5D07"/>
    <w:rsid w:val="004B5F46"/>
    <w:rsid w:val="004B615B"/>
    <w:rsid w:val="004B6C4C"/>
    <w:rsid w:val="004B7882"/>
    <w:rsid w:val="004C023A"/>
    <w:rsid w:val="004C09A4"/>
    <w:rsid w:val="004C0B16"/>
    <w:rsid w:val="004C0E4B"/>
    <w:rsid w:val="004C1732"/>
    <w:rsid w:val="004C1901"/>
    <w:rsid w:val="004C2810"/>
    <w:rsid w:val="004C2DA0"/>
    <w:rsid w:val="004C3470"/>
    <w:rsid w:val="004C35A0"/>
    <w:rsid w:val="004C3908"/>
    <w:rsid w:val="004C3F0E"/>
    <w:rsid w:val="004C463A"/>
    <w:rsid w:val="004C4B27"/>
    <w:rsid w:val="004C59CF"/>
    <w:rsid w:val="004C5AC6"/>
    <w:rsid w:val="004C62C0"/>
    <w:rsid w:val="004C6425"/>
    <w:rsid w:val="004C768E"/>
    <w:rsid w:val="004C7832"/>
    <w:rsid w:val="004C78C2"/>
    <w:rsid w:val="004D070B"/>
    <w:rsid w:val="004D16BA"/>
    <w:rsid w:val="004D1C8D"/>
    <w:rsid w:val="004D26B3"/>
    <w:rsid w:val="004D2758"/>
    <w:rsid w:val="004D2D2C"/>
    <w:rsid w:val="004D307F"/>
    <w:rsid w:val="004D3F72"/>
    <w:rsid w:val="004D42E6"/>
    <w:rsid w:val="004D5BCA"/>
    <w:rsid w:val="004D5CFC"/>
    <w:rsid w:val="004D763B"/>
    <w:rsid w:val="004D7BAA"/>
    <w:rsid w:val="004D7C64"/>
    <w:rsid w:val="004D7FBD"/>
    <w:rsid w:val="004E019C"/>
    <w:rsid w:val="004E023B"/>
    <w:rsid w:val="004E0306"/>
    <w:rsid w:val="004E0A58"/>
    <w:rsid w:val="004E0E53"/>
    <w:rsid w:val="004E0F83"/>
    <w:rsid w:val="004E28E6"/>
    <w:rsid w:val="004E2D33"/>
    <w:rsid w:val="004E34B9"/>
    <w:rsid w:val="004E361A"/>
    <w:rsid w:val="004E39A2"/>
    <w:rsid w:val="004E3AF7"/>
    <w:rsid w:val="004E3CBC"/>
    <w:rsid w:val="004E3EC4"/>
    <w:rsid w:val="004E40DB"/>
    <w:rsid w:val="004E41F1"/>
    <w:rsid w:val="004E46A8"/>
    <w:rsid w:val="004E5BC4"/>
    <w:rsid w:val="004E74D5"/>
    <w:rsid w:val="004E787C"/>
    <w:rsid w:val="004F034B"/>
    <w:rsid w:val="004F0707"/>
    <w:rsid w:val="004F07C3"/>
    <w:rsid w:val="004F0F6D"/>
    <w:rsid w:val="004F10CD"/>
    <w:rsid w:val="004F142F"/>
    <w:rsid w:val="004F2A29"/>
    <w:rsid w:val="004F35B3"/>
    <w:rsid w:val="004F39AF"/>
    <w:rsid w:val="004F4443"/>
    <w:rsid w:val="004F5A02"/>
    <w:rsid w:val="004F5A31"/>
    <w:rsid w:val="004F5A7F"/>
    <w:rsid w:val="004F68BB"/>
    <w:rsid w:val="004F6A13"/>
    <w:rsid w:val="004F6B7D"/>
    <w:rsid w:val="004F7434"/>
    <w:rsid w:val="004F7EA5"/>
    <w:rsid w:val="005010DB"/>
    <w:rsid w:val="00501998"/>
    <w:rsid w:val="00502210"/>
    <w:rsid w:val="0050228F"/>
    <w:rsid w:val="005023AA"/>
    <w:rsid w:val="00502696"/>
    <w:rsid w:val="00502BF3"/>
    <w:rsid w:val="00503B8F"/>
    <w:rsid w:val="00503BDA"/>
    <w:rsid w:val="00503CE0"/>
    <w:rsid w:val="00503D3B"/>
    <w:rsid w:val="00504C1F"/>
    <w:rsid w:val="005056DB"/>
    <w:rsid w:val="00506139"/>
    <w:rsid w:val="00506659"/>
    <w:rsid w:val="005068E9"/>
    <w:rsid w:val="00506D96"/>
    <w:rsid w:val="0050736F"/>
    <w:rsid w:val="0050746E"/>
    <w:rsid w:val="00507870"/>
    <w:rsid w:val="005105C6"/>
    <w:rsid w:val="0051076B"/>
    <w:rsid w:val="00510CE0"/>
    <w:rsid w:val="0051132C"/>
    <w:rsid w:val="005113BD"/>
    <w:rsid w:val="0051158C"/>
    <w:rsid w:val="00512023"/>
    <w:rsid w:val="005125E8"/>
    <w:rsid w:val="0051292E"/>
    <w:rsid w:val="00512FFD"/>
    <w:rsid w:val="005133CF"/>
    <w:rsid w:val="00513D6D"/>
    <w:rsid w:val="00514887"/>
    <w:rsid w:val="00514C98"/>
    <w:rsid w:val="0051606E"/>
    <w:rsid w:val="005173CB"/>
    <w:rsid w:val="0052029E"/>
    <w:rsid w:val="0052042C"/>
    <w:rsid w:val="005204D7"/>
    <w:rsid w:val="005211B2"/>
    <w:rsid w:val="00521944"/>
    <w:rsid w:val="00521A98"/>
    <w:rsid w:val="00521E72"/>
    <w:rsid w:val="0052222A"/>
    <w:rsid w:val="00522325"/>
    <w:rsid w:val="00522F30"/>
    <w:rsid w:val="00523EB1"/>
    <w:rsid w:val="00524038"/>
    <w:rsid w:val="005244A2"/>
    <w:rsid w:val="00524643"/>
    <w:rsid w:val="0052471A"/>
    <w:rsid w:val="00524B5F"/>
    <w:rsid w:val="00525140"/>
    <w:rsid w:val="00525189"/>
    <w:rsid w:val="0052727F"/>
    <w:rsid w:val="00527B07"/>
    <w:rsid w:val="00530162"/>
    <w:rsid w:val="005305E2"/>
    <w:rsid w:val="005309E6"/>
    <w:rsid w:val="00530AA3"/>
    <w:rsid w:val="00530C7F"/>
    <w:rsid w:val="00530DF6"/>
    <w:rsid w:val="0053185B"/>
    <w:rsid w:val="00532972"/>
    <w:rsid w:val="00532D5B"/>
    <w:rsid w:val="00533057"/>
    <w:rsid w:val="00533456"/>
    <w:rsid w:val="005337FF"/>
    <w:rsid w:val="00533EA9"/>
    <w:rsid w:val="005346B9"/>
    <w:rsid w:val="00534DEF"/>
    <w:rsid w:val="00534F02"/>
    <w:rsid w:val="00534F06"/>
    <w:rsid w:val="00535B09"/>
    <w:rsid w:val="005360DF"/>
    <w:rsid w:val="00536488"/>
    <w:rsid w:val="00536D21"/>
    <w:rsid w:val="00537075"/>
    <w:rsid w:val="005373DB"/>
    <w:rsid w:val="00537552"/>
    <w:rsid w:val="00537EC9"/>
    <w:rsid w:val="00540461"/>
    <w:rsid w:val="00540609"/>
    <w:rsid w:val="005408ED"/>
    <w:rsid w:val="005412C5"/>
    <w:rsid w:val="0054178C"/>
    <w:rsid w:val="00542BB4"/>
    <w:rsid w:val="0054320F"/>
    <w:rsid w:val="00543377"/>
    <w:rsid w:val="00544D23"/>
    <w:rsid w:val="00544D6E"/>
    <w:rsid w:val="0054555D"/>
    <w:rsid w:val="00545F41"/>
    <w:rsid w:val="005461C9"/>
    <w:rsid w:val="005465A3"/>
    <w:rsid w:val="00546B04"/>
    <w:rsid w:val="00546C81"/>
    <w:rsid w:val="00547091"/>
    <w:rsid w:val="00550080"/>
    <w:rsid w:val="00550391"/>
    <w:rsid w:val="005504CD"/>
    <w:rsid w:val="005505E0"/>
    <w:rsid w:val="005512B3"/>
    <w:rsid w:val="005516D3"/>
    <w:rsid w:val="00551B23"/>
    <w:rsid w:val="00551D6F"/>
    <w:rsid w:val="00552B79"/>
    <w:rsid w:val="00553435"/>
    <w:rsid w:val="00553589"/>
    <w:rsid w:val="0055366C"/>
    <w:rsid w:val="00553D37"/>
    <w:rsid w:val="00554441"/>
    <w:rsid w:val="0055507C"/>
    <w:rsid w:val="005550E5"/>
    <w:rsid w:val="005559C6"/>
    <w:rsid w:val="005559D3"/>
    <w:rsid w:val="00556B49"/>
    <w:rsid w:val="00556E40"/>
    <w:rsid w:val="00557CDC"/>
    <w:rsid w:val="00557CE9"/>
    <w:rsid w:val="005603BF"/>
    <w:rsid w:val="0056151F"/>
    <w:rsid w:val="00561866"/>
    <w:rsid w:val="00562053"/>
    <w:rsid w:val="00562634"/>
    <w:rsid w:val="0056287D"/>
    <w:rsid w:val="00562D36"/>
    <w:rsid w:val="00562DB1"/>
    <w:rsid w:val="00562E09"/>
    <w:rsid w:val="00563FEA"/>
    <w:rsid w:val="00564125"/>
    <w:rsid w:val="005645BF"/>
    <w:rsid w:val="00565987"/>
    <w:rsid w:val="00565B67"/>
    <w:rsid w:val="00565C44"/>
    <w:rsid w:val="00565CA7"/>
    <w:rsid w:val="00565E06"/>
    <w:rsid w:val="00565E31"/>
    <w:rsid w:val="005672DA"/>
    <w:rsid w:val="0056765E"/>
    <w:rsid w:val="005677A6"/>
    <w:rsid w:val="0056793A"/>
    <w:rsid w:val="0057060F"/>
    <w:rsid w:val="00570A08"/>
    <w:rsid w:val="00570F0D"/>
    <w:rsid w:val="0057156E"/>
    <w:rsid w:val="005720B1"/>
    <w:rsid w:val="005723E5"/>
    <w:rsid w:val="00572A23"/>
    <w:rsid w:val="00573684"/>
    <w:rsid w:val="00574418"/>
    <w:rsid w:val="00574630"/>
    <w:rsid w:val="005758DA"/>
    <w:rsid w:val="005761B5"/>
    <w:rsid w:val="0057662B"/>
    <w:rsid w:val="0057666F"/>
    <w:rsid w:val="00576EF8"/>
    <w:rsid w:val="00577A40"/>
    <w:rsid w:val="00580136"/>
    <w:rsid w:val="0058040E"/>
    <w:rsid w:val="00580B6E"/>
    <w:rsid w:val="0058125B"/>
    <w:rsid w:val="005829A9"/>
    <w:rsid w:val="00582F85"/>
    <w:rsid w:val="0058443A"/>
    <w:rsid w:val="00584500"/>
    <w:rsid w:val="005851A4"/>
    <w:rsid w:val="00585C60"/>
    <w:rsid w:val="00585E0D"/>
    <w:rsid w:val="00587BB6"/>
    <w:rsid w:val="0059015E"/>
    <w:rsid w:val="00590263"/>
    <w:rsid w:val="005908CC"/>
    <w:rsid w:val="00590F01"/>
    <w:rsid w:val="00590FC4"/>
    <w:rsid w:val="00591EE4"/>
    <w:rsid w:val="005927DC"/>
    <w:rsid w:val="005937CF"/>
    <w:rsid w:val="005948A4"/>
    <w:rsid w:val="0059527A"/>
    <w:rsid w:val="005955DD"/>
    <w:rsid w:val="005963CC"/>
    <w:rsid w:val="005A0343"/>
    <w:rsid w:val="005A03CA"/>
    <w:rsid w:val="005A045A"/>
    <w:rsid w:val="005A09AC"/>
    <w:rsid w:val="005A1B86"/>
    <w:rsid w:val="005A1FC4"/>
    <w:rsid w:val="005A22E5"/>
    <w:rsid w:val="005A23B2"/>
    <w:rsid w:val="005A454F"/>
    <w:rsid w:val="005A5377"/>
    <w:rsid w:val="005A59D4"/>
    <w:rsid w:val="005A60BF"/>
    <w:rsid w:val="005A65C6"/>
    <w:rsid w:val="005A7006"/>
    <w:rsid w:val="005A72C1"/>
    <w:rsid w:val="005B08D6"/>
    <w:rsid w:val="005B1CEE"/>
    <w:rsid w:val="005B2346"/>
    <w:rsid w:val="005B275C"/>
    <w:rsid w:val="005B2D00"/>
    <w:rsid w:val="005B2DCB"/>
    <w:rsid w:val="005B3398"/>
    <w:rsid w:val="005B388D"/>
    <w:rsid w:val="005B3F05"/>
    <w:rsid w:val="005B48F5"/>
    <w:rsid w:val="005B4A33"/>
    <w:rsid w:val="005B4B8C"/>
    <w:rsid w:val="005B4D23"/>
    <w:rsid w:val="005B5CBE"/>
    <w:rsid w:val="005B65ED"/>
    <w:rsid w:val="005B7334"/>
    <w:rsid w:val="005B7772"/>
    <w:rsid w:val="005B7BD4"/>
    <w:rsid w:val="005C1A96"/>
    <w:rsid w:val="005C1C6B"/>
    <w:rsid w:val="005C1D90"/>
    <w:rsid w:val="005C24BF"/>
    <w:rsid w:val="005C2F56"/>
    <w:rsid w:val="005C3ECF"/>
    <w:rsid w:val="005C4420"/>
    <w:rsid w:val="005C5D05"/>
    <w:rsid w:val="005C67A3"/>
    <w:rsid w:val="005C6CBC"/>
    <w:rsid w:val="005C754C"/>
    <w:rsid w:val="005C7977"/>
    <w:rsid w:val="005C7B1C"/>
    <w:rsid w:val="005C7E0C"/>
    <w:rsid w:val="005D0742"/>
    <w:rsid w:val="005D0D09"/>
    <w:rsid w:val="005D1420"/>
    <w:rsid w:val="005D2156"/>
    <w:rsid w:val="005D2537"/>
    <w:rsid w:val="005D25C1"/>
    <w:rsid w:val="005D2D3E"/>
    <w:rsid w:val="005D2D74"/>
    <w:rsid w:val="005D2DC8"/>
    <w:rsid w:val="005D35AF"/>
    <w:rsid w:val="005D37DE"/>
    <w:rsid w:val="005D3B7D"/>
    <w:rsid w:val="005D42B5"/>
    <w:rsid w:val="005D5771"/>
    <w:rsid w:val="005D5BF7"/>
    <w:rsid w:val="005E06ED"/>
    <w:rsid w:val="005E0EAE"/>
    <w:rsid w:val="005E0F0F"/>
    <w:rsid w:val="005E0F73"/>
    <w:rsid w:val="005E18EB"/>
    <w:rsid w:val="005E1BB5"/>
    <w:rsid w:val="005E2540"/>
    <w:rsid w:val="005E2ADF"/>
    <w:rsid w:val="005E3593"/>
    <w:rsid w:val="005E388E"/>
    <w:rsid w:val="005E3CF9"/>
    <w:rsid w:val="005E41EF"/>
    <w:rsid w:val="005E45E7"/>
    <w:rsid w:val="005E4A02"/>
    <w:rsid w:val="005E4A35"/>
    <w:rsid w:val="005E4E11"/>
    <w:rsid w:val="005E5507"/>
    <w:rsid w:val="005E5853"/>
    <w:rsid w:val="005E59F6"/>
    <w:rsid w:val="005E63CC"/>
    <w:rsid w:val="005E6483"/>
    <w:rsid w:val="005E667C"/>
    <w:rsid w:val="005E7126"/>
    <w:rsid w:val="005E73FA"/>
    <w:rsid w:val="005E7769"/>
    <w:rsid w:val="005E7D78"/>
    <w:rsid w:val="005F0A52"/>
    <w:rsid w:val="005F0D27"/>
    <w:rsid w:val="005F12C4"/>
    <w:rsid w:val="005F1351"/>
    <w:rsid w:val="005F1945"/>
    <w:rsid w:val="005F1A97"/>
    <w:rsid w:val="005F1EF8"/>
    <w:rsid w:val="005F2828"/>
    <w:rsid w:val="005F2EFB"/>
    <w:rsid w:val="005F2F96"/>
    <w:rsid w:val="005F33A6"/>
    <w:rsid w:val="005F36A3"/>
    <w:rsid w:val="005F5313"/>
    <w:rsid w:val="005F6629"/>
    <w:rsid w:val="005F6A4B"/>
    <w:rsid w:val="005F6EE0"/>
    <w:rsid w:val="005F7F84"/>
    <w:rsid w:val="005F7FA1"/>
    <w:rsid w:val="006010F3"/>
    <w:rsid w:val="006013BA"/>
    <w:rsid w:val="0060189C"/>
    <w:rsid w:val="00601DA2"/>
    <w:rsid w:val="00601DF1"/>
    <w:rsid w:val="00602065"/>
    <w:rsid w:val="006021AE"/>
    <w:rsid w:val="0060271B"/>
    <w:rsid w:val="00602DBD"/>
    <w:rsid w:val="00602F88"/>
    <w:rsid w:val="00603075"/>
    <w:rsid w:val="006031CC"/>
    <w:rsid w:val="00603266"/>
    <w:rsid w:val="0060391F"/>
    <w:rsid w:val="00604C6F"/>
    <w:rsid w:val="00604FA7"/>
    <w:rsid w:val="006064F4"/>
    <w:rsid w:val="006065BD"/>
    <w:rsid w:val="00606A11"/>
    <w:rsid w:val="00606A79"/>
    <w:rsid w:val="00606BDC"/>
    <w:rsid w:val="0060744E"/>
    <w:rsid w:val="00607C15"/>
    <w:rsid w:val="00610044"/>
    <w:rsid w:val="00610097"/>
    <w:rsid w:val="0061034B"/>
    <w:rsid w:val="00610741"/>
    <w:rsid w:val="006108AF"/>
    <w:rsid w:val="00610ACB"/>
    <w:rsid w:val="00610E5A"/>
    <w:rsid w:val="00610F40"/>
    <w:rsid w:val="00612851"/>
    <w:rsid w:val="00612B69"/>
    <w:rsid w:val="00614B06"/>
    <w:rsid w:val="006155FB"/>
    <w:rsid w:val="0061567E"/>
    <w:rsid w:val="00615C39"/>
    <w:rsid w:val="00615D18"/>
    <w:rsid w:val="00617073"/>
    <w:rsid w:val="00617A6B"/>
    <w:rsid w:val="00617FCD"/>
    <w:rsid w:val="006202E3"/>
    <w:rsid w:val="00620457"/>
    <w:rsid w:val="006207BC"/>
    <w:rsid w:val="00620A7C"/>
    <w:rsid w:val="00620AA1"/>
    <w:rsid w:val="00620FE0"/>
    <w:rsid w:val="0062120D"/>
    <w:rsid w:val="0062164C"/>
    <w:rsid w:val="00621B21"/>
    <w:rsid w:val="0062325C"/>
    <w:rsid w:val="006232F0"/>
    <w:rsid w:val="0062339B"/>
    <w:rsid w:val="0062369A"/>
    <w:rsid w:val="00623E79"/>
    <w:rsid w:val="006251F2"/>
    <w:rsid w:val="0062542A"/>
    <w:rsid w:val="00625979"/>
    <w:rsid w:val="00625B52"/>
    <w:rsid w:val="0062626A"/>
    <w:rsid w:val="00626598"/>
    <w:rsid w:val="0062688B"/>
    <w:rsid w:val="00626A69"/>
    <w:rsid w:val="00630CB3"/>
    <w:rsid w:val="006315E9"/>
    <w:rsid w:val="0063276E"/>
    <w:rsid w:val="00632D37"/>
    <w:rsid w:val="006336FF"/>
    <w:rsid w:val="006339C8"/>
    <w:rsid w:val="00633B24"/>
    <w:rsid w:val="00633B72"/>
    <w:rsid w:val="00634224"/>
    <w:rsid w:val="006342D9"/>
    <w:rsid w:val="00634C36"/>
    <w:rsid w:val="00634E4E"/>
    <w:rsid w:val="00634E6B"/>
    <w:rsid w:val="00634F33"/>
    <w:rsid w:val="006351C6"/>
    <w:rsid w:val="00635897"/>
    <w:rsid w:val="00635D6C"/>
    <w:rsid w:val="006361DC"/>
    <w:rsid w:val="006367A4"/>
    <w:rsid w:val="00637704"/>
    <w:rsid w:val="00637D7A"/>
    <w:rsid w:val="00640C93"/>
    <w:rsid w:val="00641571"/>
    <w:rsid w:val="0064215E"/>
    <w:rsid w:val="006425EA"/>
    <w:rsid w:val="00642658"/>
    <w:rsid w:val="00642A51"/>
    <w:rsid w:val="00642B80"/>
    <w:rsid w:val="0064428B"/>
    <w:rsid w:val="006442AF"/>
    <w:rsid w:val="006442D7"/>
    <w:rsid w:val="00644397"/>
    <w:rsid w:val="00644EB9"/>
    <w:rsid w:val="0064502E"/>
    <w:rsid w:val="00645E19"/>
    <w:rsid w:val="00645F6D"/>
    <w:rsid w:val="00646702"/>
    <w:rsid w:val="0064673A"/>
    <w:rsid w:val="006467D0"/>
    <w:rsid w:val="00646AE1"/>
    <w:rsid w:val="00646EC5"/>
    <w:rsid w:val="00650913"/>
    <w:rsid w:val="0065157F"/>
    <w:rsid w:val="00651EF2"/>
    <w:rsid w:val="00652EA1"/>
    <w:rsid w:val="0065314A"/>
    <w:rsid w:val="0065336C"/>
    <w:rsid w:val="006536ED"/>
    <w:rsid w:val="006547EC"/>
    <w:rsid w:val="00654CB7"/>
    <w:rsid w:val="00654E80"/>
    <w:rsid w:val="00655A26"/>
    <w:rsid w:val="0065611F"/>
    <w:rsid w:val="006564A1"/>
    <w:rsid w:val="00656BDD"/>
    <w:rsid w:val="00656BEA"/>
    <w:rsid w:val="0065711E"/>
    <w:rsid w:val="00657154"/>
    <w:rsid w:val="006575FD"/>
    <w:rsid w:val="0065790A"/>
    <w:rsid w:val="006600F0"/>
    <w:rsid w:val="00660214"/>
    <w:rsid w:val="006620AB"/>
    <w:rsid w:val="00662172"/>
    <w:rsid w:val="0066278C"/>
    <w:rsid w:val="006636D2"/>
    <w:rsid w:val="00663717"/>
    <w:rsid w:val="00663C2E"/>
    <w:rsid w:val="0066426C"/>
    <w:rsid w:val="00664526"/>
    <w:rsid w:val="006653B9"/>
    <w:rsid w:val="00665CCF"/>
    <w:rsid w:val="00666530"/>
    <w:rsid w:val="006666EC"/>
    <w:rsid w:val="0066680C"/>
    <w:rsid w:val="0066689F"/>
    <w:rsid w:val="00666FBE"/>
    <w:rsid w:val="00667698"/>
    <w:rsid w:val="0066772E"/>
    <w:rsid w:val="00667CA2"/>
    <w:rsid w:val="0067034E"/>
    <w:rsid w:val="00670733"/>
    <w:rsid w:val="00670911"/>
    <w:rsid w:val="00671ACA"/>
    <w:rsid w:val="00671EA6"/>
    <w:rsid w:val="00672043"/>
    <w:rsid w:val="006723BC"/>
    <w:rsid w:val="00672911"/>
    <w:rsid w:val="0067358B"/>
    <w:rsid w:val="00674968"/>
    <w:rsid w:val="00674C1D"/>
    <w:rsid w:val="006756F8"/>
    <w:rsid w:val="00675E53"/>
    <w:rsid w:val="00675FDE"/>
    <w:rsid w:val="006768AE"/>
    <w:rsid w:val="006768D4"/>
    <w:rsid w:val="00676C99"/>
    <w:rsid w:val="006771E6"/>
    <w:rsid w:val="006772CB"/>
    <w:rsid w:val="00677ADC"/>
    <w:rsid w:val="00680409"/>
    <w:rsid w:val="00680426"/>
    <w:rsid w:val="00680634"/>
    <w:rsid w:val="00680F49"/>
    <w:rsid w:val="00680FE0"/>
    <w:rsid w:val="00681817"/>
    <w:rsid w:val="00682888"/>
    <w:rsid w:val="00682BD8"/>
    <w:rsid w:val="00682E0C"/>
    <w:rsid w:val="00682FD7"/>
    <w:rsid w:val="00683BE7"/>
    <w:rsid w:val="00683F33"/>
    <w:rsid w:val="00683FA6"/>
    <w:rsid w:val="006841C7"/>
    <w:rsid w:val="0068445A"/>
    <w:rsid w:val="0068448E"/>
    <w:rsid w:val="00684644"/>
    <w:rsid w:val="00684932"/>
    <w:rsid w:val="00684A9C"/>
    <w:rsid w:val="00684B7A"/>
    <w:rsid w:val="00685254"/>
    <w:rsid w:val="0068558A"/>
    <w:rsid w:val="00685AC5"/>
    <w:rsid w:val="00685B6D"/>
    <w:rsid w:val="0068604B"/>
    <w:rsid w:val="00686447"/>
    <w:rsid w:val="00686BE3"/>
    <w:rsid w:val="00687491"/>
    <w:rsid w:val="00687665"/>
    <w:rsid w:val="00687763"/>
    <w:rsid w:val="00690320"/>
    <w:rsid w:val="00691171"/>
    <w:rsid w:val="00691A90"/>
    <w:rsid w:val="00692695"/>
    <w:rsid w:val="006943B0"/>
    <w:rsid w:val="0069492B"/>
    <w:rsid w:val="00695050"/>
    <w:rsid w:val="00695C8A"/>
    <w:rsid w:val="006970EC"/>
    <w:rsid w:val="006971AC"/>
    <w:rsid w:val="00697BA3"/>
    <w:rsid w:val="006A058E"/>
    <w:rsid w:val="006A05A1"/>
    <w:rsid w:val="006A117B"/>
    <w:rsid w:val="006A15E1"/>
    <w:rsid w:val="006A1AB2"/>
    <w:rsid w:val="006A25A7"/>
    <w:rsid w:val="006A27F6"/>
    <w:rsid w:val="006A2810"/>
    <w:rsid w:val="006A41D7"/>
    <w:rsid w:val="006A41F3"/>
    <w:rsid w:val="006A494C"/>
    <w:rsid w:val="006A53CC"/>
    <w:rsid w:val="006A5BA9"/>
    <w:rsid w:val="006A64F2"/>
    <w:rsid w:val="006A7294"/>
    <w:rsid w:val="006A73F7"/>
    <w:rsid w:val="006A74CB"/>
    <w:rsid w:val="006B0111"/>
    <w:rsid w:val="006B0870"/>
    <w:rsid w:val="006B08E0"/>
    <w:rsid w:val="006B0D76"/>
    <w:rsid w:val="006B1592"/>
    <w:rsid w:val="006B20B9"/>
    <w:rsid w:val="006B32AE"/>
    <w:rsid w:val="006B381F"/>
    <w:rsid w:val="006B3BDA"/>
    <w:rsid w:val="006B3FA6"/>
    <w:rsid w:val="006B4626"/>
    <w:rsid w:val="006B52E8"/>
    <w:rsid w:val="006B59B7"/>
    <w:rsid w:val="006B5A01"/>
    <w:rsid w:val="006B62E0"/>
    <w:rsid w:val="006B64B5"/>
    <w:rsid w:val="006B6956"/>
    <w:rsid w:val="006B6962"/>
    <w:rsid w:val="006B706D"/>
    <w:rsid w:val="006B72DD"/>
    <w:rsid w:val="006C0126"/>
    <w:rsid w:val="006C04C4"/>
    <w:rsid w:val="006C0753"/>
    <w:rsid w:val="006C0905"/>
    <w:rsid w:val="006C0FD5"/>
    <w:rsid w:val="006C15DC"/>
    <w:rsid w:val="006C1741"/>
    <w:rsid w:val="006C1D55"/>
    <w:rsid w:val="006C20E7"/>
    <w:rsid w:val="006C29D1"/>
    <w:rsid w:val="006C2D1E"/>
    <w:rsid w:val="006C2EF6"/>
    <w:rsid w:val="006C3D51"/>
    <w:rsid w:val="006C4C0F"/>
    <w:rsid w:val="006C4E08"/>
    <w:rsid w:val="006C5406"/>
    <w:rsid w:val="006C54C9"/>
    <w:rsid w:val="006C5655"/>
    <w:rsid w:val="006C56E5"/>
    <w:rsid w:val="006C5BB9"/>
    <w:rsid w:val="006C5D05"/>
    <w:rsid w:val="006C5E11"/>
    <w:rsid w:val="006C668C"/>
    <w:rsid w:val="006C67BF"/>
    <w:rsid w:val="006C6B53"/>
    <w:rsid w:val="006C7E51"/>
    <w:rsid w:val="006D07DF"/>
    <w:rsid w:val="006D0EC5"/>
    <w:rsid w:val="006D1312"/>
    <w:rsid w:val="006D147A"/>
    <w:rsid w:val="006D159B"/>
    <w:rsid w:val="006D1F91"/>
    <w:rsid w:val="006D27BE"/>
    <w:rsid w:val="006D2F6E"/>
    <w:rsid w:val="006D3194"/>
    <w:rsid w:val="006D455C"/>
    <w:rsid w:val="006D4B2A"/>
    <w:rsid w:val="006D51E4"/>
    <w:rsid w:val="006D52D8"/>
    <w:rsid w:val="006D5607"/>
    <w:rsid w:val="006D59BD"/>
    <w:rsid w:val="006D5AF2"/>
    <w:rsid w:val="006D684F"/>
    <w:rsid w:val="006D7AFC"/>
    <w:rsid w:val="006D7F9F"/>
    <w:rsid w:val="006E09AB"/>
    <w:rsid w:val="006E2971"/>
    <w:rsid w:val="006E312F"/>
    <w:rsid w:val="006E44C1"/>
    <w:rsid w:val="006E57E3"/>
    <w:rsid w:val="006E59BA"/>
    <w:rsid w:val="006E5ADB"/>
    <w:rsid w:val="006E6320"/>
    <w:rsid w:val="006E6461"/>
    <w:rsid w:val="006E67CC"/>
    <w:rsid w:val="006E6A0B"/>
    <w:rsid w:val="006E6C23"/>
    <w:rsid w:val="006E726C"/>
    <w:rsid w:val="006F001B"/>
    <w:rsid w:val="006F0267"/>
    <w:rsid w:val="006F0E82"/>
    <w:rsid w:val="006F11D1"/>
    <w:rsid w:val="006F123B"/>
    <w:rsid w:val="006F13FC"/>
    <w:rsid w:val="006F1DDB"/>
    <w:rsid w:val="006F33FE"/>
    <w:rsid w:val="006F3924"/>
    <w:rsid w:val="006F4295"/>
    <w:rsid w:val="006F44DF"/>
    <w:rsid w:val="006F4C15"/>
    <w:rsid w:val="006F4DD6"/>
    <w:rsid w:val="006F51D4"/>
    <w:rsid w:val="006F5583"/>
    <w:rsid w:val="006F6369"/>
    <w:rsid w:val="006F748C"/>
    <w:rsid w:val="006F775A"/>
    <w:rsid w:val="006F7A75"/>
    <w:rsid w:val="00700336"/>
    <w:rsid w:val="0070074F"/>
    <w:rsid w:val="00700856"/>
    <w:rsid w:val="00700A4D"/>
    <w:rsid w:val="007012A9"/>
    <w:rsid w:val="00701471"/>
    <w:rsid w:val="00701AC9"/>
    <w:rsid w:val="00702928"/>
    <w:rsid w:val="0070434E"/>
    <w:rsid w:val="00704523"/>
    <w:rsid w:val="00704B53"/>
    <w:rsid w:val="00705084"/>
    <w:rsid w:val="0070557F"/>
    <w:rsid w:val="0070561F"/>
    <w:rsid w:val="00705F4E"/>
    <w:rsid w:val="00706706"/>
    <w:rsid w:val="00707753"/>
    <w:rsid w:val="00707B55"/>
    <w:rsid w:val="007104F0"/>
    <w:rsid w:val="0071060F"/>
    <w:rsid w:val="00710786"/>
    <w:rsid w:val="0071093B"/>
    <w:rsid w:val="007115DE"/>
    <w:rsid w:val="007120E3"/>
    <w:rsid w:val="0071223F"/>
    <w:rsid w:val="00712F0F"/>
    <w:rsid w:val="0071468A"/>
    <w:rsid w:val="0071475E"/>
    <w:rsid w:val="00714FA4"/>
    <w:rsid w:val="007152CE"/>
    <w:rsid w:val="00715E08"/>
    <w:rsid w:val="007162AF"/>
    <w:rsid w:val="007168E2"/>
    <w:rsid w:val="00716E3C"/>
    <w:rsid w:val="00716E44"/>
    <w:rsid w:val="00717064"/>
    <w:rsid w:val="007178F7"/>
    <w:rsid w:val="007179A1"/>
    <w:rsid w:val="00717C0D"/>
    <w:rsid w:val="00717F92"/>
    <w:rsid w:val="007203E9"/>
    <w:rsid w:val="0072040F"/>
    <w:rsid w:val="00720D9C"/>
    <w:rsid w:val="00720DEE"/>
    <w:rsid w:val="00721320"/>
    <w:rsid w:val="007213D0"/>
    <w:rsid w:val="00721580"/>
    <w:rsid w:val="0072184D"/>
    <w:rsid w:val="00721B27"/>
    <w:rsid w:val="00721C6F"/>
    <w:rsid w:val="00721F75"/>
    <w:rsid w:val="0072256E"/>
    <w:rsid w:val="00722B5B"/>
    <w:rsid w:val="00723345"/>
    <w:rsid w:val="0072343F"/>
    <w:rsid w:val="0072350D"/>
    <w:rsid w:val="00723906"/>
    <w:rsid w:val="00723EB3"/>
    <w:rsid w:val="00724956"/>
    <w:rsid w:val="00725A53"/>
    <w:rsid w:val="00725AAF"/>
    <w:rsid w:val="00726122"/>
    <w:rsid w:val="007262E9"/>
    <w:rsid w:val="0072647B"/>
    <w:rsid w:val="007267BD"/>
    <w:rsid w:val="0072687C"/>
    <w:rsid w:val="00727387"/>
    <w:rsid w:val="0072749F"/>
    <w:rsid w:val="0072781B"/>
    <w:rsid w:val="00727BEA"/>
    <w:rsid w:val="00727C00"/>
    <w:rsid w:val="00727FB4"/>
    <w:rsid w:val="0073042F"/>
    <w:rsid w:val="007305B3"/>
    <w:rsid w:val="007308D2"/>
    <w:rsid w:val="007310D1"/>
    <w:rsid w:val="007335BB"/>
    <w:rsid w:val="00733B79"/>
    <w:rsid w:val="00733D8F"/>
    <w:rsid w:val="007341BE"/>
    <w:rsid w:val="00734804"/>
    <w:rsid w:val="00734B58"/>
    <w:rsid w:val="0073504E"/>
    <w:rsid w:val="007356CF"/>
    <w:rsid w:val="00735D77"/>
    <w:rsid w:val="0073660A"/>
    <w:rsid w:val="00736ED3"/>
    <w:rsid w:val="00737021"/>
    <w:rsid w:val="00737B5A"/>
    <w:rsid w:val="0074044A"/>
    <w:rsid w:val="00740556"/>
    <w:rsid w:val="007407CC"/>
    <w:rsid w:val="00740D3A"/>
    <w:rsid w:val="007416E1"/>
    <w:rsid w:val="0074352D"/>
    <w:rsid w:val="00743875"/>
    <w:rsid w:val="00743B1C"/>
    <w:rsid w:val="00743BF3"/>
    <w:rsid w:val="0074495D"/>
    <w:rsid w:val="0074498F"/>
    <w:rsid w:val="00744D5E"/>
    <w:rsid w:val="007459D8"/>
    <w:rsid w:val="00745B81"/>
    <w:rsid w:val="00745BD6"/>
    <w:rsid w:val="00745ECE"/>
    <w:rsid w:val="00746534"/>
    <w:rsid w:val="00746B1A"/>
    <w:rsid w:val="00746DC4"/>
    <w:rsid w:val="00746E05"/>
    <w:rsid w:val="00747865"/>
    <w:rsid w:val="00747CFE"/>
    <w:rsid w:val="00747E5C"/>
    <w:rsid w:val="007507BA"/>
    <w:rsid w:val="00750AEA"/>
    <w:rsid w:val="00750B73"/>
    <w:rsid w:val="00750DBD"/>
    <w:rsid w:val="00750DF9"/>
    <w:rsid w:val="00750F12"/>
    <w:rsid w:val="007511C5"/>
    <w:rsid w:val="007511EE"/>
    <w:rsid w:val="0075179B"/>
    <w:rsid w:val="00752317"/>
    <w:rsid w:val="00752694"/>
    <w:rsid w:val="00753331"/>
    <w:rsid w:val="00755733"/>
    <w:rsid w:val="007568C8"/>
    <w:rsid w:val="00757186"/>
    <w:rsid w:val="00757466"/>
    <w:rsid w:val="00757D39"/>
    <w:rsid w:val="00757F31"/>
    <w:rsid w:val="00757FC9"/>
    <w:rsid w:val="0076042E"/>
    <w:rsid w:val="007612F2"/>
    <w:rsid w:val="007615FA"/>
    <w:rsid w:val="00761FAB"/>
    <w:rsid w:val="00762466"/>
    <w:rsid w:val="007629F1"/>
    <w:rsid w:val="00763990"/>
    <w:rsid w:val="00763FC9"/>
    <w:rsid w:val="00764F4C"/>
    <w:rsid w:val="00765164"/>
    <w:rsid w:val="007665F2"/>
    <w:rsid w:val="00766F69"/>
    <w:rsid w:val="00767A18"/>
    <w:rsid w:val="00770F34"/>
    <w:rsid w:val="007710E8"/>
    <w:rsid w:val="00771791"/>
    <w:rsid w:val="00772133"/>
    <w:rsid w:val="0077252E"/>
    <w:rsid w:val="00772C5A"/>
    <w:rsid w:val="00772FAC"/>
    <w:rsid w:val="00773539"/>
    <w:rsid w:val="00773720"/>
    <w:rsid w:val="00773B48"/>
    <w:rsid w:val="00774E7F"/>
    <w:rsid w:val="007750BD"/>
    <w:rsid w:val="00775C64"/>
    <w:rsid w:val="0077612A"/>
    <w:rsid w:val="00776179"/>
    <w:rsid w:val="0077619A"/>
    <w:rsid w:val="00776283"/>
    <w:rsid w:val="007762B9"/>
    <w:rsid w:val="0077634B"/>
    <w:rsid w:val="00776473"/>
    <w:rsid w:val="007769FA"/>
    <w:rsid w:val="00776D4E"/>
    <w:rsid w:val="00777004"/>
    <w:rsid w:val="00777419"/>
    <w:rsid w:val="0077750D"/>
    <w:rsid w:val="0077769F"/>
    <w:rsid w:val="00777F33"/>
    <w:rsid w:val="00780163"/>
    <w:rsid w:val="007816E1"/>
    <w:rsid w:val="00781DBF"/>
    <w:rsid w:val="00782108"/>
    <w:rsid w:val="00782198"/>
    <w:rsid w:val="0078291A"/>
    <w:rsid w:val="00782CE4"/>
    <w:rsid w:val="00783308"/>
    <w:rsid w:val="00783450"/>
    <w:rsid w:val="00783C2F"/>
    <w:rsid w:val="0078419E"/>
    <w:rsid w:val="00784FD4"/>
    <w:rsid w:val="007850CC"/>
    <w:rsid w:val="00786060"/>
    <w:rsid w:val="00787EBA"/>
    <w:rsid w:val="00790259"/>
    <w:rsid w:val="00790633"/>
    <w:rsid w:val="00790A9F"/>
    <w:rsid w:val="00790CFD"/>
    <w:rsid w:val="00790DA5"/>
    <w:rsid w:val="00790E68"/>
    <w:rsid w:val="007916AD"/>
    <w:rsid w:val="007929B4"/>
    <w:rsid w:val="00792EAB"/>
    <w:rsid w:val="00793B29"/>
    <w:rsid w:val="00794490"/>
    <w:rsid w:val="00794ECF"/>
    <w:rsid w:val="007964E9"/>
    <w:rsid w:val="00796E14"/>
    <w:rsid w:val="00796F67"/>
    <w:rsid w:val="00797186"/>
    <w:rsid w:val="00797460"/>
    <w:rsid w:val="00797565"/>
    <w:rsid w:val="0079792E"/>
    <w:rsid w:val="00797D5A"/>
    <w:rsid w:val="007A1ABD"/>
    <w:rsid w:val="007A244E"/>
    <w:rsid w:val="007A2787"/>
    <w:rsid w:val="007A3311"/>
    <w:rsid w:val="007A35DA"/>
    <w:rsid w:val="007A4123"/>
    <w:rsid w:val="007A451D"/>
    <w:rsid w:val="007A4E15"/>
    <w:rsid w:val="007A56FA"/>
    <w:rsid w:val="007A6F56"/>
    <w:rsid w:val="007A7DCA"/>
    <w:rsid w:val="007B0407"/>
    <w:rsid w:val="007B1523"/>
    <w:rsid w:val="007B4E15"/>
    <w:rsid w:val="007B5522"/>
    <w:rsid w:val="007B589F"/>
    <w:rsid w:val="007B6594"/>
    <w:rsid w:val="007B6E4B"/>
    <w:rsid w:val="007B7395"/>
    <w:rsid w:val="007B758E"/>
    <w:rsid w:val="007B7692"/>
    <w:rsid w:val="007B782D"/>
    <w:rsid w:val="007B7E32"/>
    <w:rsid w:val="007C097F"/>
    <w:rsid w:val="007C09A7"/>
    <w:rsid w:val="007C0D3C"/>
    <w:rsid w:val="007C0F1E"/>
    <w:rsid w:val="007C1751"/>
    <w:rsid w:val="007C1FC3"/>
    <w:rsid w:val="007C2501"/>
    <w:rsid w:val="007C366F"/>
    <w:rsid w:val="007C41FB"/>
    <w:rsid w:val="007C4F48"/>
    <w:rsid w:val="007C5EE8"/>
    <w:rsid w:val="007C6076"/>
    <w:rsid w:val="007C6352"/>
    <w:rsid w:val="007C6EFA"/>
    <w:rsid w:val="007C72BC"/>
    <w:rsid w:val="007C7867"/>
    <w:rsid w:val="007C78B8"/>
    <w:rsid w:val="007C7E36"/>
    <w:rsid w:val="007C7F51"/>
    <w:rsid w:val="007D0EE5"/>
    <w:rsid w:val="007D1115"/>
    <w:rsid w:val="007D1F9D"/>
    <w:rsid w:val="007D20E4"/>
    <w:rsid w:val="007D2368"/>
    <w:rsid w:val="007D24B3"/>
    <w:rsid w:val="007D252D"/>
    <w:rsid w:val="007D38F2"/>
    <w:rsid w:val="007D4399"/>
    <w:rsid w:val="007D43EE"/>
    <w:rsid w:val="007D45CA"/>
    <w:rsid w:val="007D4BEB"/>
    <w:rsid w:val="007D55F9"/>
    <w:rsid w:val="007D6FDF"/>
    <w:rsid w:val="007D72D3"/>
    <w:rsid w:val="007D7452"/>
    <w:rsid w:val="007D74E5"/>
    <w:rsid w:val="007E044E"/>
    <w:rsid w:val="007E0BD3"/>
    <w:rsid w:val="007E29DA"/>
    <w:rsid w:val="007E36F3"/>
    <w:rsid w:val="007E4705"/>
    <w:rsid w:val="007E47FC"/>
    <w:rsid w:val="007E4B66"/>
    <w:rsid w:val="007E5714"/>
    <w:rsid w:val="007E580D"/>
    <w:rsid w:val="007E5A00"/>
    <w:rsid w:val="007E6143"/>
    <w:rsid w:val="007E77F9"/>
    <w:rsid w:val="007E7C3A"/>
    <w:rsid w:val="007F01D5"/>
    <w:rsid w:val="007F0D6F"/>
    <w:rsid w:val="007F1D34"/>
    <w:rsid w:val="007F23A4"/>
    <w:rsid w:val="007F246F"/>
    <w:rsid w:val="007F36A7"/>
    <w:rsid w:val="007F407D"/>
    <w:rsid w:val="007F43F8"/>
    <w:rsid w:val="007F4EEC"/>
    <w:rsid w:val="007F6220"/>
    <w:rsid w:val="007F68FC"/>
    <w:rsid w:val="007F72B5"/>
    <w:rsid w:val="007F780A"/>
    <w:rsid w:val="00800201"/>
    <w:rsid w:val="00800D82"/>
    <w:rsid w:val="00800ECC"/>
    <w:rsid w:val="00801689"/>
    <w:rsid w:val="00801ABF"/>
    <w:rsid w:val="008021E2"/>
    <w:rsid w:val="008025B0"/>
    <w:rsid w:val="00802CD5"/>
    <w:rsid w:val="008031B2"/>
    <w:rsid w:val="008033ED"/>
    <w:rsid w:val="00803A7A"/>
    <w:rsid w:val="00803C6A"/>
    <w:rsid w:val="0080419C"/>
    <w:rsid w:val="008042F3"/>
    <w:rsid w:val="00804E1B"/>
    <w:rsid w:val="008051D8"/>
    <w:rsid w:val="00805333"/>
    <w:rsid w:val="00805B9B"/>
    <w:rsid w:val="00806E3D"/>
    <w:rsid w:val="008073CF"/>
    <w:rsid w:val="008108C9"/>
    <w:rsid w:val="008113B7"/>
    <w:rsid w:val="008120FF"/>
    <w:rsid w:val="00812301"/>
    <w:rsid w:val="00812B61"/>
    <w:rsid w:val="00812F0F"/>
    <w:rsid w:val="00813068"/>
    <w:rsid w:val="00813225"/>
    <w:rsid w:val="00813304"/>
    <w:rsid w:val="00813859"/>
    <w:rsid w:val="00813A94"/>
    <w:rsid w:val="00813E17"/>
    <w:rsid w:val="0081461A"/>
    <w:rsid w:val="0081468F"/>
    <w:rsid w:val="00814B47"/>
    <w:rsid w:val="00815F96"/>
    <w:rsid w:val="00816A1D"/>
    <w:rsid w:val="00816ECF"/>
    <w:rsid w:val="008175F8"/>
    <w:rsid w:val="00820481"/>
    <w:rsid w:val="00821DB2"/>
    <w:rsid w:val="008228B0"/>
    <w:rsid w:val="00822BEC"/>
    <w:rsid w:val="008231BB"/>
    <w:rsid w:val="0082352C"/>
    <w:rsid w:val="008238AF"/>
    <w:rsid w:val="008269CE"/>
    <w:rsid w:val="00826BD3"/>
    <w:rsid w:val="00826EEC"/>
    <w:rsid w:val="008303EB"/>
    <w:rsid w:val="008306DA"/>
    <w:rsid w:val="008306ED"/>
    <w:rsid w:val="008307EB"/>
    <w:rsid w:val="008309D7"/>
    <w:rsid w:val="00830B1D"/>
    <w:rsid w:val="00831095"/>
    <w:rsid w:val="008314E3"/>
    <w:rsid w:val="00831511"/>
    <w:rsid w:val="0083166E"/>
    <w:rsid w:val="00831892"/>
    <w:rsid w:val="00832D30"/>
    <w:rsid w:val="00832DC0"/>
    <w:rsid w:val="008336DE"/>
    <w:rsid w:val="00833B31"/>
    <w:rsid w:val="00834CF3"/>
    <w:rsid w:val="00834D83"/>
    <w:rsid w:val="00834F4F"/>
    <w:rsid w:val="0083572F"/>
    <w:rsid w:val="00835B05"/>
    <w:rsid w:val="008362A0"/>
    <w:rsid w:val="00836701"/>
    <w:rsid w:val="00836E5C"/>
    <w:rsid w:val="00837818"/>
    <w:rsid w:val="00837878"/>
    <w:rsid w:val="00837A7E"/>
    <w:rsid w:val="00837ACE"/>
    <w:rsid w:val="00837F9C"/>
    <w:rsid w:val="008401BA"/>
    <w:rsid w:val="008405F8"/>
    <w:rsid w:val="00840655"/>
    <w:rsid w:val="00841C41"/>
    <w:rsid w:val="00842AB7"/>
    <w:rsid w:val="00843052"/>
    <w:rsid w:val="00843057"/>
    <w:rsid w:val="008432A7"/>
    <w:rsid w:val="008433E6"/>
    <w:rsid w:val="00843470"/>
    <w:rsid w:val="0084359C"/>
    <w:rsid w:val="00843695"/>
    <w:rsid w:val="0084378C"/>
    <w:rsid w:val="00843D89"/>
    <w:rsid w:val="00844080"/>
    <w:rsid w:val="0084415B"/>
    <w:rsid w:val="00844660"/>
    <w:rsid w:val="00845210"/>
    <w:rsid w:val="00845215"/>
    <w:rsid w:val="00845554"/>
    <w:rsid w:val="0084564D"/>
    <w:rsid w:val="0084584E"/>
    <w:rsid w:val="00845FC0"/>
    <w:rsid w:val="0084680B"/>
    <w:rsid w:val="0084789C"/>
    <w:rsid w:val="00850651"/>
    <w:rsid w:val="00850C1D"/>
    <w:rsid w:val="0085194F"/>
    <w:rsid w:val="00851FF4"/>
    <w:rsid w:val="00852C80"/>
    <w:rsid w:val="00853BA2"/>
    <w:rsid w:val="008542A3"/>
    <w:rsid w:val="008543B8"/>
    <w:rsid w:val="00854C48"/>
    <w:rsid w:val="008558A0"/>
    <w:rsid w:val="00855F7E"/>
    <w:rsid w:val="008562E9"/>
    <w:rsid w:val="00856368"/>
    <w:rsid w:val="00856B15"/>
    <w:rsid w:val="0085775A"/>
    <w:rsid w:val="00857EA6"/>
    <w:rsid w:val="00860529"/>
    <w:rsid w:val="008607A9"/>
    <w:rsid w:val="00860AA5"/>
    <w:rsid w:val="00860CFB"/>
    <w:rsid w:val="008610DD"/>
    <w:rsid w:val="00861249"/>
    <w:rsid w:val="00862B80"/>
    <w:rsid w:val="00863394"/>
    <w:rsid w:val="0086398F"/>
    <w:rsid w:val="0086493C"/>
    <w:rsid w:val="00864CDE"/>
    <w:rsid w:val="008651DE"/>
    <w:rsid w:val="00865D3E"/>
    <w:rsid w:val="00865D8B"/>
    <w:rsid w:val="00866A73"/>
    <w:rsid w:val="00866E3E"/>
    <w:rsid w:val="008672F9"/>
    <w:rsid w:val="00867F35"/>
    <w:rsid w:val="00867FA2"/>
    <w:rsid w:val="00870CED"/>
    <w:rsid w:val="00871A6E"/>
    <w:rsid w:val="00871F52"/>
    <w:rsid w:val="00873626"/>
    <w:rsid w:val="00873B11"/>
    <w:rsid w:val="008744CA"/>
    <w:rsid w:val="008750FC"/>
    <w:rsid w:val="00875394"/>
    <w:rsid w:val="00875636"/>
    <w:rsid w:val="0087643A"/>
    <w:rsid w:val="008773D3"/>
    <w:rsid w:val="00877884"/>
    <w:rsid w:val="00877F95"/>
    <w:rsid w:val="008804CE"/>
    <w:rsid w:val="008808AD"/>
    <w:rsid w:val="00880AC6"/>
    <w:rsid w:val="008814D3"/>
    <w:rsid w:val="0088179D"/>
    <w:rsid w:val="00881922"/>
    <w:rsid w:val="00881E46"/>
    <w:rsid w:val="00882190"/>
    <w:rsid w:val="00883297"/>
    <w:rsid w:val="0088381F"/>
    <w:rsid w:val="008838F5"/>
    <w:rsid w:val="00883EE2"/>
    <w:rsid w:val="00884800"/>
    <w:rsid w:val="0088497A"/>
    <w:rsid w:val="0088498F"/>
    <w:rsid w:val="00885015"/>
    <w:rsid w:val="00886408"/>
    <w:rsid w:val="00887E01"/>
    <w:rsid w:val="00890363"/>
    <w:rsid w:val="00890425"/>
    <w:rsid w:val="00891ADE"/>
    <w:rsid w:val="00891FC9"/>
    <w:rsid w:val="00892099"/>
    <w:rsid w:val="00892236"/>
    <w:rsid w:val="00892810"/>
    <w:rsid w:val="00892C54"/>
    <w:rsid w:val="00892D35"/>
    <w:rsid w:val="00893219"/>
    <w:rsid w:val="00894B06"/>
    <w:rsid w:val="00895497"/>
    <w:rsid w:val="00895735"/>
    <w:rsid w:val="008959A8"/>
    <w:rsid w:val="00896704"/>
    <w:rsid w:val="00897254"/>
    <w:rsid w:val="008979E8"/>
    <w:rsid w:val="00897D39"/>
    <w:rsid w:val="008A1787"/>
    <w:rsid w:val="008A19E6"/>
    <w:rsid w:val="008A1E84"/>
    <w:rsid w:val="008A20F1"/>
    <w:rsid w:val="008A2977"/>
    <w:rsid w:val="008A2D4A"/>
    <w:rsid w:val="008A3FA5"/>
    <w:rsid w:val="008A4F14"/>
    <w:rsid w:val="008A50B8"/>
    <w:rsid w:val="008A5846"/>
    <w:rsid w:val="008A596B"/>
    <w:rsid w:val="008A6318"/>
    <w:rsid w:val="008A7148"/>
    <w:rsid w:val="008A7412"/>
    <w:rsid w:val="008A7E53"/>
    <w:rsid w:val="008B0A11"/>
    <w:rsid w:val="008B0A7A"/>
    <w:rsid w:val="008B0C17"/>
    <w:rsid w:val="008B1214"/>
    <w:rsid w:val="008B15C9"/>
    <w:rsid w:val="008B16AC"/>
    <w:rsid w:val="008B1D39"/>
    <w:rsid w:val="008B2860"/>
    <w:rsid w:val="008B2CF6"/>
    <w:rsid w:val="008B3330"/>
    <w:rsid w:val="008B3DB7"/>
    <w:rsid w:val="008B6338"/>
    <w:rsid w:val="008B6667"/>
    <w:rsid w:val="008B6C2D"/>
    <w:rsid w:val="008B7562"/>
    <w:rsid w:val="008C0AF8"/>
    <w:rsid w:val="008C0D86"/>
    <w:rsid w:val="008C0E1E"/>
    <w:rsid w:val="008C1690"/>
    <w:rsid w:val="008C1C4B"/>
    <w:rsid w:val="008C1F95"/>
    <w:rsid w:val="008C297D"/>
    <w:rsid w:val="008C3BAD"/>
    <w:rsid w:val="008C3FA3"/>
    <w:rsid w:val="008C4F5A"/>
    <w:rsid w:val="008C5022"/>
    <w:rsid w:val="008C63CC"/>
    <w:rsid w:val="008C6B66"/>
    <w:rsid w:val="008C6F40"/>
    <w:rsid w:val="008C72D5"/>
    <w:rsid w:val="008C7596"/>
    <w:rsid w:val="008C7B40"/>
    <w:rsid w:val="008D01CD"/>
    <w:rsid w:val="008D03CC"/>
    <w:rsid w:val="008D04CC"/>
    <w:rsid w:val="008D0991"/>
    <w:rsid w:val="008D0A6C"/>
    <w:rsid w:val="008D154E"/>
    <w:rsid w:val="008D1E98"/>
    <w:rsid w:val="008D2470"/>
    <w:rsid w:val="008D2BDB"/>
    <w:rsid w:val="008D2DB4"/>
    <w:rsid w:val="008D3325"/>
    <w:rsid w:val="008D37E0"/>
    <w:rsid w:val="008D4C31"/>
    <w:rsid w:val="008D4F12"/>
    <w:rsid w:val="008D51AC"/>
    <w:rsid w:val="008D5384"/>
    <w:rsid w:val="008D5AD5"/>
    <w:rsid w:val="008D6088"/>
    <w:rsid w:val="008D791E"/>
    <w:rsid w:val="008E0849"/>
    <w:rsid w:val="008E166D"/>
    <w:rsid w:val="008E1C40"/>
    <w:rsid w:val="008E2084"/>
    <w:rsid w:val="008E273B"/>
    <w:rsid w:val="008E2B1E"/>
    <w:rsid w:val="008E2D1B"/>
    <w:rsid w:val="008E2D25"/>
    <w:rsid w:val="008E30BA"/>
    <w:rsid w:val="008E3E37"/>
    <w:rsid w:val="008E40C2"/>
    <w:rsid w:val="008E439D"/>
    <w:rsid w:val="008E47DD"/>
    <w:rsid w:val="008E4E07"/>
    <w:rsid w:val="008E5080"/>
    <w:rsid w:val="008E59DD"/>
    <w:rsid w:val="008E5CB3"/>
    <w:rsid w:val="008E6772"/>
    <w:rsid w:val="008E6D5E"/>
    <w:rsid w:val="008E6F83"/>
    <w:rsid w:val="008E7A12"/>
    <w:rsid w:val="008F0657"/>
    <w:rsid w:val="008F0CFF"/>
    <w:rsid w:val="008F0D7F"/>
    <w:rsid w:val="008F0F18"/>
    <w:rsid w:val="008F0F20"/>
    <w:rsid w:val="008F1442"/>
    <w:rsid w:val="008F1A1F"/>
    <w:rsid w:val="008F20BA"/>
    <w:rsid w:val="008F220B"/>
    <w:rsid w:val="008F33D5"/>
    <w:rsid w:val="008F378E"/>
    <w:rsid w:val="008F3E88"/>
    <w:rsid w:val="008F4229"/>
    <w:rsid w:val="008F4399"/>
    <w:rsid w:val="008F4F19"/>
    <w:rsid w:val="008F533C"/>
    <w:rsid w:val="008F5CF1"/>
    <w:rsid w:val="008F609F"/>
    <w:rsid w:val="008F62A2"/>
    <w:rsid w:val="008F667E"/>
    <w:rsid w:val="00901E35"/>
    <w:rsid w:val="0090291F"/>
    <w:rsid w:val="00902F6D"/>
    <w:rsid w:val="00903FF0"/>
    <w:rsid w:val="009046F1"/>
    <w:rsid w:val="009047E3"/>
    <w:rsid w:val="00904A7E"/>
    <w:rsid w:val="00905DFA"/>
    <w:rsid w:val="00905FAE"/>
    <w:rsid w:val="009063D4"/>
    <w:rsid w:val="009101E9"/>
    <w:rsid w:val="00910F83"/>
    <w:rsid w:val="009114FD"/>
    <w:rsid w:val="00911EF4"/>
    <w:rsid w:val="00913524"/>
    <w:rsid w:val="00913E27"/>
    <w:rsid w:val="009143F1"/>
    <w:rsid w:val="0091463D"/>
    <w:rsid w:val="00915A16"/>
    <w:rsid w:val="00915A64"/>
    <w:rsid w:val="00916C65"/>
    <w:rsid w:val="00920327"/>
    <w:rsid w:val="009203C7"/>
    <w:rsid w:val="009205E0"/>
    <w:rsid w:val="00920956"/>
    <w:rsid w:val="00920B4B"/>
    <w:rsid w:val="0092110B"/>
    <w:rsid w:val="00921A8B"/>
    <w:rsid w:val="009222BF"/>
    <w:rsid w:val="009229BD"/>
    <w:rsid w:val="00922A2F"/>
    <w:rsid w:val="0092342D"/>
    <w:rsid w:val="0092355A"/>
    <w:rsid w:val="0092402C"/>
    <w:rsid w:val="009244A6"/>
    <w:rsid w:val="00924F21"/>
    <w:rsid w:val="00925047"/>
    <w:rsid w:val="0092536F"/>
    <w:rsid w:val="00925E13"/>
    <w:rsid w:val="00925F51"/>
    <w:rsid w:val="009261AD"/>
    <w:rsid w:val="0092622F"/>
    <w:rsid w:val="00926655"/>
    <w:rsid w:val="00927628"/>
    <w:rsid w:val="00927891"/>
    <w:rsid w:val="00930188"/>
    <w:rsid w:val="009301BF"/>
    <w:rsid w:val="00931A51"/>
    <w:rsid w:val="00931A5E"/>
    <w:rsid w:val="00932358"/>
    <w:rsid w:val="009324EA"/>
    <w:rsid w:val="00933111"/>
    <w:rsid w:val="0093315B"/>
    <w:rsid w:val="009349E3"/>
    <w:rsid w:val="00934BA4"/>
    <w:rsid w:val="00934E6C"/>
    <w:rsid w:val="0093502B"/>
    <w:rsid w:val="0093537E"/>
    <w:rsid w:val="0093709D"/>
    <w:rsid w:val="00937431"/>
    <w:rsid w:val="00937972"/>
    <w:rsid w:val="009407EA"/>
    <w:rsid w:val="00940ECD"/>
    <w:rsid w:val="00941433"/>
    <w:rsid w:val="009420B5"/>
    <w:rsid w:val="00943208"/>
    <w:rsid w:val="009432A4"/>
    <w:rsid w:val="009433D2"/>
    <w:rsid w:val="00943772"/>
    <w:rsid w:val="00943A73"/>
    <w:rsid w:val="00943F9D"/>
    <w:rsid w:val="00944651"/>
    <w:rsid w:val="009449F5"/>
    <w:rsid w:val="00944F4C"/>
    <w:rsid w:val="00945072"/>
    <w:rsid w:val="00945EF4"/>
    <w:rsid w:val="009472FF"/>
    <w:rsid w:val="00947C21"/>
    <w:rsid w:val="009510CB"/>
    <w:rsid w:val="00951649"/>
    <w:rsid w:val="00951AF7"/>
    <w:rsid w:val="00951F8D"/>
    <w:rsid w:val="00952877"/>
    <w:rsid w:val="009532CD"/>
    <w:rsid w:val="00953374"/>
    <w:rsid w:val="00953384"/>
    <w:rsid w:val="0095367A"/>
    <w:rsid w:val="0095393B"/>
    <w:rsid w:val="00953ED8"/>
    <w:rsid w:val="0095435C"/>
    <w:rsid w:val="00954CC4"/>
    <w:rsid w:val="00955D04"/>
    <w:rsid w:val="00957088"/>
    <w:rsid w:val="00957287"/>
    <w:rsid w:val="00957336"/>
    <w:rsid w:val="00960403"/>
    <w:rsid w:val="009605A4"/>
    <w:rsid w:val="00960913"/>
    <w:rsid w:val="009612FC"/>
    <w:rsid w:val="009614AE"/>
    <w:rsid w:val="00961731"/>
    <w:rsid w:val="00961E6A"/>
    <w:rsid w:val="00961E86"/>
    <w:rsid w:val="009622AD"/>
    <w:rsid w:val="0096259A"/>
    <w:rsid w:val="00962905"/>
    <w:rsid w:val="00963324"/>
    <w:rsid w:val="0096346C"/>
    <w:rsid w:val="0096373F"/>
    <w:rsid w:val="00964256"/>
    <w:rsid w:val="00964E71"/>
    <w:rsid w:val="00965032"/>
    <w:rsid w:val="0096528C"/>
    <w:rsid w:val="0096692A"/>
    <w:rsid w:val="00966C88"/>
    <w:rsid w:val="00967170"/>
    <w:rsid w:val="0096747B"/>
    <w:rsid w:val="00970882"/>
    <w:rsid w:val="00970A73"/>
    <w:rsid w:val="009711CF"/>
    <w:rsid w:val="00971266"/>
    <w:rsid w:val="009714FA"/>
    <w:rsid w:val="009715F6"/>
    <w:rsid w:val="00971B2E"/>
    <w:rsid w:val="00972278"/>
    <w:rsid w:val="009728B2"/>
    <w:rsid w:val="00972DFF"/>
    <w:rsid w:val="0097389C"/>
    <w:rsid w:val="00973BFE"/>
    <w:rsid w:val="00973E57"/>
    <w:rsid w:val="00974285"/>
    <w:rsid w:val="0097467D"/>
    <w:rsid w:val="00976D84"/>
    <w:rsid w:val="0097729B"/>
    <w:rsid w:val="00977337"/>
    <w:rsid w:val="0097773E"/>
    <w:rsid w:val="00977BED"/>
    <w:rsid w:val="009805EC"/>
    <w:rsid w:val="00980C1E"/>
    <w:rsid w:val="00981149"/>
    <w:rsid w:val="0098132E"/>
    <w:rsid w:val="009815A2"/>
    <w:rsid w:val="00981DED"/>
    <w:rsid w:val="009821E9"/>
    <w:rsid w:val="009825DB"/>
    <w:rsid w:val="00982710"/>
    <w:rsid w:val="00982A08"/>
    <w:rsid w:val="00982C97"/>
    <w:rsid w:val="009848C6"/>
    <w:rsid w:val="00984BFF"/>
    <w:rsid w:val="009859CA"/>
    <w:rsid w:val="00985AA5"/>
    <w:rsid w:val="009865F2"/>
    <w:rsid w:val="00986CF5"/>
    <w:rsid w:val="009876EF"/>
    <w:rsid w:val="00987D75"/>
    <w:rsid w:val="00987D77"/>
    <w:rsid w:val="00990AA1"/>
    <w:rsid w:val="00991204"/>
    <w:rsid w:val="009914C2"/>
    <w:rsid w:val="009945B9"/>
    <w:rsid w:val="00994A27"/>
    <w:rsid w:val="00994CC9"/>
    <w:rsid w:val="009955D8"/>
    <w:rsid w:val="00995A01"/>
    <w:rsid w:val="00996A61"/>
    <w:rsid w:val="00996FC5"/>
    <w:rsid w:val="00997386"/>
    <w:rsid w:val="009976C5"/>
    <w:rsid w:val="009A0189"/>
    <w:rsid w:val="009A0782"/>
    <w:rsid w:val="009A0931"/>
    <w:rsid w:val="009A1066"/>
    <w:rsid w:val="009A107A"/>
    <w:rsid w:val="009A1845"/>
    <w:rsid w:val="009A1B89"/>
    <w:rsid w:val="009A2BC2"/>
    <w:rsid w:val="009A2DF8"/>
    <w:rsid w:val="009A3532"/>
    <w:rsid w:val="009A42EC"/>
    <w:rsid w:val="009A4617"/>
    <w:rsid w:val="009A47D5"/>
    <w:rsid w:val="009A492B"/>
    <w:rsid w:val="009A5A3C"/>
    <w:rsid w:val="009A5BD3"/>
    <w:rsid w:val="009A5E4D"/>
    <w:rsid w:val="009A5EB3"/>
    <w:rsid w:val="009A68B4"/>
    <w:rsid w:val="009A7461"/>
    <w:rsid w:val="009A75A8"/>
    <w:rsid w:val="009A7DA1"/>
    <w:rsid w:val="009B0661"/>
    <w:rsid w:val="009B088A"/>
    <w:rsid w:val="009B1527"/>
    <w:rsid w:val="009B1A6B"/>
    <w:rsid w:val="009B36D4"/>
    <w:rsid w:val="009B38A6"/>
    <w:rsid w:val="009B38C9"/>
    <w:rsid w:val="009B38CD"/>
    <w:rsid w:val="009B3D89"/>
    <w:rsid w:val="009B51F6"/>
    <w:rsid w:val="009B53EB"/>
    <w:rsid w:val="009B605A"/>
    <w:rsid w:val="009B6BCF"/>
    <w:rsid w:val="009B7619"/>
    <w:rsid w:val="009B765F"/>
    <w:rsid w:val="009B7897"/>
    <w:rsid w:val="009B7E04"/>
    <w:rsid w:val="009C000C"/>
    <w:rsid w:val="009C0095"/>
    <w:rsid w:val="009C03AD"/>
    <w:rsid w:val="009C0C28"/>
    <w:rsid w:val="009C0CCB"/>
    <w:rsid w:val="009C0EA6"/>
    <w:rsid w:val="009C1B23"/>
    <w:rsid w:val="009C2503"/>
    <w:rsid w:val="009C25C8"/>
    <w:rsid w:val="009C328F"/>
    <w:rsid w:val="009C5307"/>
    <w:rsid w:val="009C5460"/>
    <w:rsid w:val="009C5648"/>
    <w:rsid w:val="009C58F1"/>
    <w:rsid w:val="009C75F1"/>
    <w:rsid w:val="009C7C4F"/>
    <w:rsid w:val="009D03A3"/>
    <w:rsid w:val="009D04EE"/>
    <w:rsid w:val="009D060D"/>
    <w:rsid w:val="009D1353"/>
    <w:rsid w:val="009D143C"/>
    <w:rsid w:val="009D15C1"/>
    <w:rsid w:val="009D1665"/>
    <w:rsid w:val="009D16A6"/>
    <w:rsid w:val="009D1E0A"/>
    <w:rsid w:val="009D2256"/>
    <w:rsid w:val="009D3168"/>
    <w:rsid w:val="009D3182"/>
    <w:rsid w:val="009D358D"/>
    <w:rsid w:val="009D3C44"/>
    <w:rsid w:val="009D3D67"/>
    <w:rsid w:val="009D462D"/>
    <w:rsid w:val="009D475F"/>
    <w:rsid w:val="009D4933"/>
    <w:rsid w:val="009D52B6"/>
    <w:rsid w:val="009D6672"/>
    <w:rsid w:val="009D66A3"/>
    <w:rsid w:val="009D69A5"/>
    <w:rsid w:val="009D76DB"/>
    <w:rsid w:val="009D7749"/>
    <w:rsid w:val="009D7E26"/>
    <w:rsid w:val="009E05BA"/>
    <w:rsid w:val="009E0D0E"/>
    <w:rsid w:val="009E0DD8"/>
    <w:rsid w:val="009E16E2"/>
    <w:rsid w:val="009E1ECD"/>
    <w:rsid w:val="009E2235"/>
    <w:rsid w:val="009E235B"/>
    <w:rsid w:val="009E2DEB"/>
    <w:rsid w:val="009E36CB"/>
    <w:rsid w:val="009E38B4"/>
    <w:rsid w:val="009E4963"/>
    <w:rsid w:val="009E4980"/>
    <w:rsid w:val="009E4E3B"/>
    <w:rsid w:val="009E52E1"/>
    <w:rsid w:val="009E632E"/>
    <w:rsid w:val="009E6686"/>
    <w:rsid w:val="009E7129"/>
    <w:rsid w:val="009E72A2"/>
    <w:rsid w:val="009E77B5"/>
    <w:rsid w:val="009E7857"/>
    <w:rsid w:val="009E7EC9"/>
    <w:rsid w:val="009E7F7B"/>
    <w:rsid w:val="009E7FAA"/>
    <w:rsid w:val="009F166A"/>
    <w:rsid w:val="009F3FBA"/>
    <w:rsid w:val="009F4A3B"/>
    <w:rsid w:val="009F5970"/>
    <w:rsid w:val="009F5D72"/>
    <w:rsid w:val="009F7503"/>
    <w:rsid w:val="00A00D76"/>
    <w:rsid w:val="00A02226"/>
    <w:rsid w:val="00A0259E"/>
    <w:rsid w:val="00A032CA"/>
    <w:rsid w:val="00A039F4"/>
    <w:rsid w:val="00A03E04"/>
    <w:rsid w:val="00A0403B"/>
    <w:rsid w:val="00A047A3"/>
    <w:rsid w:val="00A05176"/>
    <w:rsid w:val="00A05A2A"/>
    <w:rsid w:val="00A0662E"/>
    <w:rsid w:val="00A07116"/>
    <w:rsid w:val="00A076E6"/>
    <w:rsid w:val="00A07917"/>
    <w:rsid w:val="00A10B2D"/>
    <w:rsid w:val="00A11F7D"/>
    <w:rsid w:val="00A12D5D"/>
    <w:rsid w:val="00A13C1C"/>
    <w:rsid w:val="00A15625"/>
    <w:rsid w:val="00A15D78"/>
    <w:rsid w:val="00A1624A"/>
    <w:rsid w:val="00A16293"/>
    <w:rsid w:val="00A16319"/>
    <w:rsid w:val="00A16FE4"/>
    <w:rsid w:val="00A1704C"/>
    <w:rsid w:val="00A17EA8"/>
    <w:rsid w:val="00A2029F"/>
    <w:rsid w:val="00A20E8E"/>
    <w:rsid w:val="00A21463"/>
    <w:rsid w:val="00A214A6"/>
    <w:rsid w:val="00A21BAE"/>
    <w:rsid w:val="00A224A2"/>
    <w:rsid w:val="00A22ED0"/>
    <w:rsid w:val="00A23141"/>
    <w:rsid w:val="00A2367E"/>
    <w:rsid w:val="00A24710"/>
    <w:rsid w:val="00A24DD0"/>
    <w:rsid w:val="00A25009"/>
    <w:rsid w:val="00A2591E"/>
    <w:rsid w:val="00A25DDE"/>
    <w:rsid w:val="00A26E1E"/>
    <w:rsid w:val="00A274B3"/>
    <w:rsid w:val="00A277FF"/>
    <w:rsid w:val="00A311A9"/>
    <w:rsid w:val="00A31EC6"/>
    <w:rsid w:val="00A32A8B"/>
    <w:rsid w:val="00A32D46"/>
    <w:rsid w:val="00A32F17"/>
    <w:rsid w:val="00A331DB"/>
    <w:rsid w:val="00A332BD"/>
    <w:rsid w:val="00A33435"/>
    <w:rsid w:val="00A33B9F"/>
    <w:rsid w:val="00A33E04"/>
    <w:rsid w:val="00A357D8"/>
    <w:rsid w:val="00A35B0E"/>
    <w:rsid w:val="00A35DFB"/>
    <w:rsid w:val="00A362CF"/>
    <w:rsid w:val="00A36911"/>
    <w:rsid w:val="00A36F77"/>
    <w:rsid w:val="00A36FA5"/>
    <w:rsid w:val="00A4005C"/>
    <w:rsid w:val="00A404D4"/>
    <w:rsid w:val="00A40638"/>
    <w:rsid w:val="00A40BB1"/>
    <w:rsid w:val="00A41845"/>
    <w:rsid w:val="00A42687"/>
    <w:rsid w:val="00A43CEC"/>
    <w:rsid w:val="00A44922"/>
    <w:rsid w:val="00A45419"/>
    <w:rsid w:val="00A45985"/>
    <w:rsid w:val="00A45991"/>
    <w:rsid w:val="00A45C42"/>
    <w:rsid w:val="00A45E3B"/>
    <w:rsid w:val="00A462D2"/>
    <w:rsid w:val="00A467AA"/>
    <w:rsid w:val="00A471CA"/>
    <w:rsid w:val="00A47386"/>
    <w:rsid w:val="00A478E7"/>
    <w:rsid w:val="00A47FD2"/>
    <w:rsid w:val="00A47FF8"/>
    <w:rsid w:val="00A50229"/>
    <w:rsid w:val="00A503AD"/>
    <w:rsid w:val="00A5083B"/>
    <w:rsid w:val="00A51A62"/>
    <w:rsid w:val="00A51BB9"/>
    <w:rsid w:val="00A51FA5"/>
    <w:rsid w:val="00A52DE1"/>
    <w:rsid w:val="00A54348"/>
    <w:rsid w:val="00A55593"/>
    <w:rsid w:val="00A556EF"/>
    <w:rsid w:val="00A5586B"/>
    <w:rsid w:val="00A565AC"/>
    <w:rsid w:val="00A57DC3"/>
    <w:rsid w:val="00A6001D"/>
    <w:rsid w:val="00A60450"/>
    <w:rsid w:val="00A60906"/>
    <w:rsid w:val="00A60B8A"/>
    <w:rsid w:val="00A61710"/>
    <w:rsid w:val="00A61E41"/>
    <w:rsid w:val="00A621B9"/>
    <w:rsid w:val="00A62A09"/>
    <w:rsid w:val="00A64562"/>
    <w:rsid w:val="00A64B4C"/>
    <w:rsid w:val="00A64B9B"/>
    <w:rsid w:val="00A64D1A"/>
    <w:rsid w:val="00A6558E"/>
    <w:rsid w:val="00A66204"/>
    <w:rsid w:val="00A6625E"/>
    <w:rsid w:val="00A6659C"/>
    <w:rsid w:val="00A66C42"/>
    <w:rsid w:val="00A66E0F"/>
    <w:rsid w:val="00A66FFB"/>
    <w:rsid w:val="00A7076D"/>
    <w:rsid w:val="00A70BF7"/>
    <w:rsid w:val="00A711B2"/>
    <w:rsid w:val="00A71856"/>
    <w:rsid w:val="00A71990"/>
    <w:rsid w:val="00A7216D"/>
    <w:rsid w:val="00A73591"/>
    <w:rsid w:val="00A7368F"/>
    <w:rsid w:val="00A73D28"/>
    <w:rsid w:val="00A74B98"/>
    <w:rsid w:val="00A74D4C"/>
    <w:rsid w:val="00A750EE"/>
    <w:rsid w:val="00A7527D"/>
    <w:rsid w:val="00A75A4D"/>
    <w:rsid w:val="00A75E3D"/>
    <w:rsid w:val="00A75F4E"/>
    <w:rsid w:val="00A76152"/>
    <w:rsid w:val="00A767D8"/>
    <w:rsid w:val="00A77A61"/>
    <w:rsid w:val="00A77EBF"/>
    <w:rsid w:val="00A8013A"/>
    <w:rsid w:val="00A806B4"/>
    <w:rsid w:val="00A80B00"/>
    <w:rsid w:val="00A80E82"/>
    <w:rsid w:val="00A81079"/>
    <w:rsid w:val="00A82CF7"/>
    <w:rsid w:val="00A83545"/>
    <w:rsid w:val="00A8418C"/>
    <w:rsid w:val="00A84253"/>
    <w:rsid w:val="00A84261"/>
    <w:rsid w:val="00A85416"/>
    <w:rsid w:val="00A85854"/>
    <w:rsid w:val="00A859AA"/>
    <w:rsid w:val="00A86038"/>
    <w:rsid w:val="00A8605F"/>
    <w:rsid w:val="00A86B11"/>
    <w:rsid w:val="00A8733B"/>
    <w:rsid w:val="00A87B4C"/>
    <w:rsid w:val="00A87BF8"/>
    <w:rsid w:val="00A87D3D"/>
    <w:rsid w:val="00A9198E"/>
    <w:rsid w:val="00A9236A"/>
    <w:rsid w:val="00A926C5"/>
    <w:rsid w:val="00A92A76"/>
    <w:rsid w:val="00A9357C"/>
    <w:rsid w:val="00A93CF2"/>
    <w:rsid w:val="00A94339"/>
    <w:rsid w:val="00A948D0"/>
    <w:rsid w:val="00A94E46"/>
    <w:rsid w:val="00A95060"/>
    <w:rsid w:val="00A95C9A"/>
    <w:rsid w:val="00A95DAD"/>
    <w:rsid w:val="00A960C7"/>
    <w:rsid w:val="00A967C4"/>
    <w:rsid w:val="00A9785B"/>
    <w:rsid w:val="00A97E73"/>
    <w:rsid w:val="00AA0A0D"/>
    <w:rsid w:val="00AA3979"/>
    <w:rsid w:val="00AA57E0"/>
    <w:rsid w:val="00AA5B5A"/>
    <w:rsid w:val="00AA6178"/>
    <w:rsid w:val="00AA7262"/>
    <w:rsid w:val="00AB1ED0"/>
    <w:rsid w:val="00AB2F6A"/>
    <w:rsid w:val="00AB3252"/>
    <w:rsid w:val="00AB3757"/>
    <w:rsid w:val="00AB3C8E"/>
    <w:rsid w:val="00AB3F17"/>
    <w:rsid w:val="00AB47BB"/>
    <w:rsid w:val="00AB5D69"/>
    <w:rsid w:val="00AB5FC8"/>
    <w:rsid w:val="00AB60A6"/>
    <w:rsid w:val="00AB6389"/>
    <w:rsid w:val="00AB64EC"/>
    <w:rsid w:val="00AB652B"/>
    <w:rsid w:val="00AB65DB"/>
    <w:rsid w:val="00AB6E49"/>
    <w:rsid w:val="00AB7839"/>
    <w:rsid w:val="00AB7930"/>
    <w:rsid w:val="00AB7EE6"/>
    <w:rsid w:val="00AC11CB"/>
    <w:rsid w:val="00AC1331"/>
    <w:rsid w:val="00AC1788"/>
    <w:rsid w:val="00AC1E6D"/>
    <w:rsid w:val="00AC272E"/>
    <w:rsid w:val="00AC2756"/>
    <w:rsid w:val="00AC2B63"/>
    <w:rsid w:val="00AC2F8C"/>
    <w:rsid w:val="00AC30C5"/>
    <w:rsid w:val="00AC3360"/>
    <w:rsid w:val="00AC34C1"/>
    <w:rsid w:val="00AC3E85"/>
    <w:rsid w:val="00AC401D"/>
    <w:rsid w:val="00AC4502"/>
    <w:rsid w:val="00AC45BC"/>
    <w:rsid w:val="00AC46E1"/>
    <w:rsid w:val="00AC4B1F"/>
    <w:rsid w:val="00AC551A"/>
    <w:rsid w:val="00AC5896"/>
    <w:rsid w:val="00AC602F"/>
    <w:rsid w:val="00AC610E"/>
    <w:rsid w:val="00AC6A81"/>
    <w:rsid w:val="00AC6DFF"/>
    <w:rsid w:val="00AC7526"/>
    <w:rsid w:val="00AC7F7D"/>
    <w:rsid w:val="00AD001C"/>
    <w:rsid w:val="00AD1923"/>
    <w:rsid w:val="00AD195C"/>
    <w:rsid w:val="00AD23FE"/>
    <w:rsid w:val="00AD2595"/>
    <w:rsid w:val="00AD2EDA"/>
    <w:rsid w:val="00AD345E"/>
    <w:rsid w:val="00AD3A3F"/>
    <w:rsid w:val="00AD3E73"/>
    <w:rsid w:val="00AD4F34"/>
    <w:rsid w:val="00AD5660"/>
    <w:rsid w:val="00AD5AF7"/>
    <w:rsid w:val="00AD5BC7"/>
    <w:rsid w:val="00AD62C9"/>
    <w:rsid w:val="00AD6350"/>
    <w:rsid w:val="00AD6CC7"/>
    <w:rsid w:val="00AD6DF2"/>
    <w:rsid w:val="00AE0607"/>
    <w:rsid w:val="00AE065B"/>
    <w:rsid w:val="00AE0FDF"/>
    <w:rsid w:val="00AE14D9"/>
    <w:rsid w:val="00AE1521"/>
    <w:rsid w:val="00AE1BF6"/>
    <w:rsid w:val="00AE2A34"/>
    <w:rsid w:val="00AE3178"/>
    <w:rsid w:val="00AE3CF4"/>
    <w:rsid w:val="00AE429D"/>
    <w:rsid w:val="00AE4CC8"/>
    <w:rsid w:val="00AE5351"/>
    <w:rsid w:val="00AE583E"/>
    <w:rsid w:val="00AE63EC"/>
    <w:rsid w:val="00AE7889"/>
    <w:rsid w:val="00AE7CDC"/>
    <w:rsid w:val="00AE7D11"/>
    <w:rsid w:val="00AF0350"/>
    <w:rsid w:val="00AF04D6"/>
    <w:rsid w:val="00AF0F0E"/>
    <w:rsid w:val="00AF1B7E"/>
    <w:rsid w:val="00AF270E"/>
    <w:rsid w:val="00AF2770"/>
    <w:rsid w:val="00AF3180"/>
    <w:rsid w:val="00AF397A"/>
    <w:rsid w:val="00AF3C79"/>
    <w:rsid w:val="00AF6181"/>
    <w:rsid w:val="00AF68A5"/>
    <w:rsid w:val="00AF6C7E"/>
    <w:rsid w:val="00AF6DAA"/>
    <w:rsid w:val="00AF7706"/>
    <w:rsid w:val="00AF7CB7"/>
    <w:rsid w:val="00B007EC"/>
    <w:rsid w:val="00B00A3B"/>
    <w:rsid w:val="00B00D33"/>
    <w:rsid w:val="00B018DF"/>
    <w:rsid w:val="00B021BC"/>
    <w:rsid w:val="00B024C7"/>
    <w:rsid w:val="00B0274B"/>
    <w:rsid w:val="00B0391A"/>
    <w:rsid w:val="00B03EA7"/>
    <w:rsid w:val="00B042D1"/>
    <w:rsid w:val="00B04730"/>
    <w:rsid w:val="00B04D70"/>
    <w:rsid w:val="00B05138"/>
    <w:rsid w:val="00B056E6"/>
    <w:rsid w:val="00B05A20"/>
    <w:rsid w:val="00B062E9"/>
    <w:rsid w:val="00B06378"/>
    <w:rsid w:val="00B06D38"/>
    <w:rsid w:val="00B06D40"/>
    <w:rsid w:val="00B07261"/>
    <w:rsid w:val="00B079A5"/>
    <w:rsid w:val="00B11CFF"/>
    <w:rsid w:val="00B1271A"/>
    <w:rsid w:val="00B12758"/>
    <w:rsid w:val="00B129CB"/>
    <w:rsid w:val="00B12C74"/>
    <w:rsid w:val="00B12D17"/>
    <w:rsid w:val="00B131AF"/>
    <w:rsid w:val="00B13DEB"/>
    <w:rsid w:val="00B14440"/>
    <w:rsid w:val="00B14621"/>
    <w:rsid w:val="00B150C4"/>
    <w:rsid w:val="00B15BEE"/>
    <w:rsid w:val="00B16260"/>
    <w:rsid w:val="00B162AE"/>
    <w:rsid w:val="00B16F57"/>
    <w:rsid w:val="00B17707"/>
    <w:rsid w:val="00B177FA"/>
    <w:rsid w:val="00B1795A"/>
    <w:rsid w:val="00B17961"/>
    <w:rsid w:val="00B20D3D"/>
    <w:rsid w:val="00B21080"/>
    <w:rsid w:val="00B219F0"/>
    <w:rsid w:val="00B21E4F"/>
    <w:rsid w:val="00B22167"/>
    <w:rsid w:val="00B22CE9"/>
    <w:rsid w:val="00B22E38"/>
    <w:rsid w:val="00B22E68"/>
    <w:rsid w:val="00B22F33"/>
    <w:rsid w:val="00B2417C"/>
    <w:rsid w:val="00B24444"/>
    <w:rsid w:val="00B24635"/>
    <w:rsid w:val="00B24A67"/>
    <w:rsid w:val="00B253C1"/>
    <w:rsid w:val="00B25978"/>
    <w:rsid w:val="00B25B97"/>
    <w:rsid w:val="00B25BEF"/>
    <w:rsid w:val="00B25D45"/>
    <w:rsid w:val="00B268D9"/>
    <w:rsid w:val="00B26F76"/>
    <w:rsid w:val="00B305E8"/>
    <w:rsid w:val="00B30806"/>
    <w:rsid w:val="00B30ADF"/>
    <w:rsid w:val="00B30BC4"/>
    <w:rsid w:val="00B31433"/>
    <w:rsid w:val="00B31DF6"/>
    <w:rsid w:val="00B3215D"/>
    <w:rsid w:val="00B328A1"/>
    <w:rsid w:val="00B3341F"/>
    <w:rsid w:val="00B33504"/>
    <w:rsid w:val="00B33564"/>
    <w:rsid w:val="00B33743"/>
    <w:rsid w:val="00B34A85"/>
    <w:rsid w:val="00B35C28"/>
    <w:rsid w:val="00B36513"/>
    <w:rsid w:val="00B36F72"/>
    <w:rsid w:val="00B37214"/>
    <w:rsid w:val="00B3790E"/>
    <w:rsid w:val="00B37E69"/>
    <w:rsid w:val="00B40089"/>
    <w:rsid w:val="00B409BB"/>
    <w:rsid w:val="00B4155B"/>
    <w:rsid w:val="00B41D1D"/>
    <w:rsid w:val="00B4282F"/>
    <w:rsid w:val="00B42F3B"/>
    <w:rsid w:val="00B4397F"/>
    <w:rsid w:val="00B44106"/>
    <w:rsid w:val="00B444A4"/>
    <w:rsid w:val="00B44DD4"/>
    <w:rsid w:val="00B44E1C"/>
    <w:rsid w:val="00B44ED2"/>
    <w:rsid w:val="00B4508B"/>
    <w:rsid w:val="00B45F6A"/>
    <w:rsid w:val="00B461A2"/>
    <w:rsid w:val="00B47CE5"/>
    <w:rsid w:val="00B47E63"/>
    <w:rsid w:val="00B503AD"/>
    <w:rsid w:val="00B50D63"/>
    <w:rsid w:val="00B513FA"/>
    <w:rsid w:val="00B51A86"/>
    <w:rsid w:val="00B52153"/>
    <w:rsid w:val="00B52FD7"/>
    <w:rsid w:val="00B53050"/>
    <w:rsid w:val="00B5337D"/>
    <w:rsid w:val="00B5422E"/>
    <w:rsid w:val="00B5454A"/>
    <w:rsid w:val="00B54A61"/>
    <w:rsid w:val="00B56FB8"/>
    <w:rsid w:val="00B57C4F"/>
    <w:rsid w:val="00B60688"/>
    <w:rsid w:val="00B606F7"/>
    <w:rsid w:val="00B60AA8"/>
    <w:rsid w:val="00B61327"/>
    <w:rsid w:val="00B61DFA"/>
    <w:rsid w:val="00B62193"/>
    <w:rsid w:val="00B628CE"/>
    <w:rsid w:val="00B633BB"/>
    <w:rsid w:val="00B63B83"/>
    <w:rsid w:val="00B63DFA"/>
    <w:rsid w:val="00B65B8B"/>
    <w:rsid w:val="00B6612E"/>
    <w:rsid w:val="00B66682"/>
    <w:rsid w:val="00B67E54"/>
    <w:rsid w:val="00B704B5"/>
    <w:rsid w:val="00B71416"/>
    <w:rsid w:val="00B72229"/>
    <w:rsid w:val="00B72DA5"/>
    <w:rsid w:val="00B72DB8"/>
    <w:rsid w:val="00B74173"/>
    <w:rsid w:val="00B744AD"/>
    <w:rsid w:val="00B74B88"/>
    <w:rsid w:val="00B751FE"/>
    <w:rsid w:val="00B752FF"/>
    <w:rsid w:val="00B75FAC"/>
    <w:rsid w:val="00B7600A"/>
    <w:rsid w:val="00B760E5"/>
    <w:rsid w:val="00B7640A"/>
    <w:rsid w:val="00B76F7D"/>
    <w:rsid w:val="00B771CE"/>
    <w:rsid w:val="00B77379"/>
    <w:rsid w:val="00B8110F"/>
    <w:rsid w:val="00B81919"/>
    <w:rsid w:val="00B81AEA"/>
    <w:rsid w:val="00B81C15"/>
    <w:rsid w:val="00B81C8D"/>
    <w:rsid w:val="00B830CD"/>
    <w:rsid w:val="00B84F18"/>
    <w:rsid w:val="00B86CA0"/>
    <w:rsid w:val="00B87204"/>
    <w:rsid w:val="00B87357"/>
    <w:rsid w:val="00B87B2F"/>
    <w:rsid w:val="00B90860"/>
    <w:rsid w:val="00B913A9"/>
    <w:rsid w:val="00B91AA9"/>
    <w:rsid w:val="00B9220A"/>
    <w:rsid w:val="00B92B48"/>
    <w:rsid w:val="00B92EEE"/>
    <w:rsid w:val="00B9313D"/>
    <w:rsid w:val="00B9356D"/>
    <w:rsid w:val="00B93E32"/>
    <w:rsid w:val="00B953E8"/>
    <w:rsid w:val="00B954BD"/>
    <w:rsid w:val="00B954E8"/>
    <w:rsid w:val="00B96113"/>
    <w:rsid w:val="00B96613"/>
    <w:rsid w:val="00B96AC3"/>
    <w:rsid w:val="00B96F64"/>
    <w:rsid w:val="00B96FBC"/>
    <w:rsid w:val="00B9700B"/>
    <w:rsid w:val="00B977B6"/>
    <w:rsid w:val="00B97ADD"/>
    <w:rsid w:val="00B97C6A"/>
    <w:rsid w:val="00BA0E7D"/>
    <w:rsid w:val="00BA0FD1"/>
    <w:rsid w:val="00BA11D5"/>
    <w:rsid w:val="00BA13A6"/>
    <w:rsid w:val="00BA1877"/>
    <w:rsid w:val="00BA20CB"/>
    <w:rsid w:val="00BA2445"/>
    <w:rsid w:val="00BA24FF"/>
    <w:rsid w:val="00BA273E"/>
    <w:rsid w:val="00BA2761"/>
    <w:rsid w:val="00BA28DA"/>
    <w:rsid w:val="00BA2957"/>
    <w:rsid w:val="00BA3430"/>
    <w:rsid w:val="00BA3DB2"/>
    <w:rsid w:val="00BA4038"/>
    <w:rsid w:val="00BA4655"/>
    <w:rsid w:val="00BA569A"/>
    <w:rsid w:val="00BA5D4A"/>
    <w:rsid w:val="00BA626C"/>
    <w:rsid w:val="00BA65D6"/>
    <w:rsid w:val="00BA751E"/>
    <w:rsid w:val="00BA7AD6"/>
    <w:rsid w:val="00BB0E25"/>
    <w:rsid w:val="00BB178E"/>
    <w:rsid w:val="00BB17B4"/>
    <w:rsid w:val="00BB1EF9"/>
    <w:rsid w:val="00BB2100"/>
    <w:rsid w:val="00BB44EE"/>
    <w:rsid w:val="00BB542F"/>
    <w:rsid w:val="00BB57E0"/>
    <w:rsid w:val="00BB69B1"/>
    <w:rsid w:val="00BB6E06"/>
    <w:rsid w:val="00BB737C"/>
    <w:rsid w:val="00BB7962"/>
    <w:rsid w:val="00BB7979"/>
    <w:rsid w:val="00BB7DFC"/>
    <w:rsid w:val="00BB7E8F"/>
    <w:rsid w:val="00BC05D6"/>
    <w:rsid w:val="00BC08A8"/>
    <w:rsid w:val="00BC0CAE"/>
    <w:rsid w:val="00BC13D1"/>
    <w:rsid w:val="00BC1E25"/>
    <w:rsid w:val="00BC24CC"/>
    <w:rsid w:val="00BC2789"/>
    <w:rsid w:val="00BC282A"/>
    <w:rsid w:val="00BC2D9B"/>
    <w:rsid w:val="00BC30F6"/>
    <w:rsid w:val="00BC317B"/>
    <w:rsid w:val="00BC361B"/>
    <w:rsid w:val="00BC3F2D"/>
    <w:rsid w:val="00BC4E44"/>
    <w:rsid w:val="00BC506F"/>
    <w:rsid w:val="00BC55BE"/>
    <w:rsid w:val="00BC56C1"/>
    <w:rsid w:val="00BC5D6F"/>
    <w:rsid w:val="00BC5FBC"/>
    <w:rsid w:val="00BC656E"/>
    <w:rsid w:val="00BC693B"/>
    <w:rsid w:val="00BD0137"/>
    <w:rsid w:val="00BD05FA"/>
    <w:rsid w:val="00BD0741"/>
    <w:rsid w:val="00BD08D4"/>
    <w:rsid w:val="00BD1073"/>
    <w:rsid w:val="00BD14C9"/>
    <w:rsid w:val="00BD2143"/>
    <w:rsid w:val="00BD278A"/>
    <w:rsid w:val="00BD2962"/>
    <w:rsid w:val="00BD38D5"/>
    <w:rsid w:val="00BD3BE6"/>
    <w:rsid w:val="00BD44AC"/>
    <w:rsid w:val="00BD4A1F"/>
    <w:rsid w:val="00BD52FA"/>
    <w:rsid w:val="00BD5412"/>
    <w:rsid w:val="00BD5A81"/>
    <w:rsid w:val="00BD6129"/>
    <w:rsid w:val="00BD6501"/>
    <w:rsid w:val="00BD68B4"/>
    <w:rsid w:val="00BD6D64"/>
    <w:rsid w:val="00BD7588"/>
    <w:rsid w:val="00BD7CE9"/>
    <w:rsid w:val="00BD7EFD"/>
    <w:rsid w:val="00BE088B"/>
    <w:rsid w:val="00BE09A2"/>
    <w:rsid w:val="00BE23C9"/>
    <w:rsid w:val="00BE276C"/>
    <w:rsid w:val="00BE296A"/>
    <w:rsid w:val="00BE3B36"/>
    <w:rsid w:val="00BE4580"/>
    <w:rsid w:val="00BE45D5"/>
    <w:rsid w:val="00BE6273"/>
    <w:rsid w:val="00BE6642"/>
    <w:rsid w:val="00BE69D9"/>
    <w:rsid w:val="00BE6EAE"/>
    <w:rsid w:val="00BE6F85"/>
    <w:rsid w:val="00BE7189"/>
    <w:rsid w:val="00BE759E"/>
    <w:rsid w:val="00BE76F7"/>
    <w:rsid w:val="00BE79A3"/>
    <w:rsid w:val="00BF009D"/>
    <w:rsid w:val="00BF0F5F"/>
    <w:rsid w:val="00BF10D0"/>
    <w:rsid w:val="00BF11F3"/>
    <w:rsid w:val="00BF13FA"/>
    <w:rsid w:val="00BF1448"/>
    <w:rsid w:val="00BF1455"/>
    <w:rsid w:val="00BF1927"/>
    <w:rsid w:val="00BF29AF"/>
    <w:rsid w:val="00BF29DE"/>
    <w:rsid w:val="00BF3373"/>
    <w:rsid w:val="00BF3509"/>
    <w:rsid w:val="00BF38D6"/>
    <w:rsid w:val="00BF3A8F"/>
    <w:rsid w:val="00BF3CC7"/>
    <w:rsid w:val="00BF44D4"/>
    <w:rsid w:val="00BF4A32"/>
    <w:rsid w:val="00BF4B12"/>
    <w:rsid w:val="00BF4E3F"/>
    <w:rsid w:val="00BF6A5B"/>
    <w:rsid w:val="00BF7053"/>
    <w:rsid w:val="00BF74AE"/>
    <w:rsid w:val="00BF7DB0"/>
    <w:rsid w:val="00BF7FEC"/>
    <w:rsid w:val="00C00D92"/>
    <w:rsid w:val="00C00E92"/>
    <w:rsid w:val="00C01B38"/>
    <w:rsid w:val="00C01DE3"/>
    <w:rsid w:val="00C02153"/>
    <w:rsid w:val="00C021BD"/>
    <w:rsid w:val="00C02345"/>
    <w:rsid w:val="00C038F5"/>
    <w:rsid w:val="00C03E88"/>
    <w:rsid w:val="00C04556"/>
    <w:rsid w:val="00C046F6"/>
    <w:rsid w:val="00C04B73"/>
    <w:rsid w:val="00C057CD"/>
    <w:rsid w:val="00C0591C"/>
    <w:rsid w:val="00C0652D"/>
    <w:rsid w:val="00C07C6C"/>
    <w:rsid w:val="00C07DE1"/>
    <w:rsid w:val="00C10272"/>
    <w:rsid w:val="00C105C7"/>
    <w:rsid w:val="00C11489"/>
    <w:rsid w:val="00C122D2"/>
    <w:rsid w:val="00C13F33"/>
    <w:rsid w:val="00C13F77"/>
    <w:rsid w:val="00C1421A"/>
    <w:rsid w:val="00C145A8"/>
    <w:rsid w:val="00C14CB8"/>
    <w:rsid w:val="00C14D34"/>
    <w:rsid w:val="00C15A98"/>
    <w:rsid w:val="00C15D2F"/>
    <w:rsid w:val="00C163FA"/>
    <w:rsid w:val="00C16411"/>
    <w:rsid w:val="00C20062"/>
    <w:rsid w:val="00C20D2E"/>
    <w:rsid w:val="00C21345"/>
    <w:rsid w:val="00C2139A"/>
    <w:rsid w:val="00C21F97"/>
    <w:rsid w:val="00C223E7"/>
    <w:rsid w:val="00C22B2C"/>
    <w:rsid w:val="00C22BB0"/>
    <w:rsid w:val="00C23470"/>
    <w:rsid w:val="00C23CCE"/>
    <w:rsid w:val="00C23E6A"/>
    <w:rsid w:val="00C242DB"/>
    <w:rsid w:val="00C2436D"/>
    <w:rsid w:val="00C243DE"/>
    <w:rsid w:val="00C257C4"/>
    <w:rsid w:val="00C2616A"/>
    <w:rsid w:val="00C2697F"/>
    <w:rsid w:val="00C2776C"/>
    <w:rsid w:val="00C300B6"/>
    <w:rsid w:val="00C301E4"/>
    <w:rsid w:val="00C30421"/>
    <w:rsid w:val="00C30680"/>
    <w:rsid w:val="00C3109E"/>
    <w:rsid w:val="00C31133"/>
    <w:rsid w:val="00C31A7B"/>
    <w:rsid w:val="00C327A7"/>
    <w:rsid w:val="00C33896"/>
    <w:rsid w:val="00C33AEB"/>
    <w:rsid w:val="00C33EC4"/>
    <w:rsid w:val="00C355A1"/>
    <w:rsid w:val="00C36465"/>
    <w:rsid w:val="00C3683C"/>
    <w:rsid w:val="00C36869"/>
    <w:rsid w:val="00C36BB6"/>
    <w:rsid w:val="00C375BC"/>
    <w:rsid w:val="00C37FE5"/>
    <w:rsid w:val="00C4086A"/>
    <w:rsid w:val="00C4135C"/>
    <w:rsid w:val="00C41EB3"/>
    <w:rsid w:val="00C42662"/>
    <w:rsid w:val="00C42DCC"/>
    <w:rsid w:val="00C448FE"/>
    <w:rsid w:val="00C44C1B"/>
    <w:rsid w:val="00C44F2A"/>
    <w:rsid w:val="00C4570B"/>
    <w:rsid w:val="00C458AF"/>
    <w:rsid w:val="00C45CB3"/>
    <w:rsid w:val="00C45E88"/>
    <w:rsid w:val="00C4667C"/>
    <w:rsid w:val="00C46BE7"/>
    <w:rsid w:val="00C46CCC"/>
    <w:rsid w:val="00C46D82"/>
    <w:rsid w:val="00C47201"/>
    <w:rsid w:val="00C50E14"/>
    <w:rsid w:val="00C50EC5"/>
    <w:rsid w:val="00C52121"/>
    <w:rsid w:val="00C52B98"/>
    <w:rsid w:val="00C533A2"/>
    <w:rsid w:val="00C535BA"/>
    <w:rsid w:val="00C53859"/>
    <w:rsid w:val="00C55FFC"/>
    <w:rsid w:val="00C562F9"/>
    <w:rsid w:val="00C56858"/>
    <w:rsid w:val="00C57406"/>
    <w:rsid w:val="00C57B9A"/>
    <w:rsid w:val="00C60AEB"/>
    <w:rsid w:val="00C616A2"/>
    <w:rsid w:val="00C619E0"/>
    <w:rsid w:val="00C62074"/>
    <w:rsid w:val="00C62494"/>
    <w:rsid w:val="00C631BD"/>
    <w:rsid w:val="00C6355A"/>
    <w:rsid w:val="00C64824"/>
    <w:rsid w:val="00C6503E"/>
    <w:rsid w:val="00C6562E"/>
    <w:rsid w:val="00C65BBF"/>
    <w:rsid w:val="00C66F3E"/>
    <w:rsid w:val="00C67656"/>
    <w:rsid w:val="00C67B65"/>
    <w:rsid w:val="00C7055B"/>
    <w:rsid w:val="00C706EE"/>
    <w:rsid w:val="00C708FC"/>
    <w:rsid w:val="00C7095E"/>
    <w:rsid w:val="00C70C7F"/>
    <w:rsid w:val="00C70CFC"/>
    <w:rsid w:val="00C71150"/>
    <w:rsid w:val="00C7318C"/>
    <w:rsid w:val="00C734F3"/>
    <w:rsid w:val="00C73DF8"/>
    <w:rsid w:val="00C748AC"/>
    <w:rsid w:val="00C74C67"/>
    <w:rsid w:val="00C74D66"/>
    <w:rsid w:val="00C75746"/>
    <w:rsid w:val="00C75E4B"/>
    <w:rsid w:val="00C760A3"/>
    <w:rsid w:val="00C764CA"/>
    <w:rsid w:val="00C76D37"/>
    <w:rsid w:val="00C76D54"/>
    <w:rsid w:val="00C77171"/>
    <w:rsid w:val="00C77306"/>
    <w:rsid w:val="00C77B9B"/>
    <w:rsid w:val="00C804BF"/>
    <w:rsid w:val="00C81BC8"/>
    <w:rsid w:val="00C82232"/>
    <w:rsid w:val="00C83FCC"/>
    <w:rsid w:val="00C8419D"/>
    <w:rsid w:val="00C8453E"/>
    <w:rsid w:val="00C84562"/>
    <w:rsid w:val="00C85450"/>
    <w:rsid w:val="00C85B4B"/>
    <w:rsid w:val="00C86124"/>
    <w:rsid w:val="00C87A85"/>
    <w:rsid w:val="00C90755"/>
    <w:rsid w:val="00C90FA6"/>
    <w:rsid w:val="00C91847"/>
    <w:rsid w:val="00C93908"/>
    <w:rsid w:val="00C939AC"/>
    <w:rsid w:val="00C9421F"/>
    <w:rsid w:val="00C94BF3"/>
    <w:rsid w:val="00C95835"/>
    <w:rsid w:val="00C95C5C"/>
    <w:rsid w:val="00C961F0"/>
    <w:rsid w:val="00C97C63"/>
    <w:rsid w:val="00C97E2B"/>
    <w:rsid w:val="00CA006E"/>
    <w:rsid w:val="00CA0B8F"/>
    <w:rsid w:val="00CA1ED3"/>
    <w:rsid w:val="00CA2413"/>
    <w:rsid w:val="00CA2FA3"/>
    <w:rsid w:val="00CA40BE"/>
    <w:rsid w:val="00CA4D44"/>
    <w:rsid w:val="00CA513B"/>
    <w:rsid w:val="00CA52A4"/>
    <w:rsid w:val="00CA5CD5"/>
    <w:rsid w:val="00CA624A"/>
    <w:rsid w:val="00CA62E3"/>
    <w:rsid w:val="00CA6771"/>
    <w:rsid w:val="00CA6AD5"/>
    <w:rsid w:val="00CA6D90"/>
    <w:rsid w:val="00CA703B"/>
    <w:rsid w:val="00CA7E67"/>
    <w:rsid w:val="00CB0544"/>
    <w:rsid w:val="00CB06F5"/>
    <w:rsid w:val="00CB078C"/>
    <w:rsid w:val="00CB0E26"/>
    <w:rsid w:val="00CB206E"/>
    <w:rsid w:val="00CB2098"/>
    <w:rsid w:val="00CB22A1"/>
    <w:rsid w:val="00CB2737"/>
    <w:rsid w:val="00CB28DB"/>
    <w:rsid w:val="00CB2B70"/>
    <w:rsid w:val="00CB352F"/>
    <w:rsid w:val="00CB389E"/>
    <w:rsid w:val="00CB4025"/>
    <w:rsid w:val="00CB49E7"/>
    <w:rsid w:val="00CB5181"/>
    <w:rsid w:val="00CB5206"/>
    <w:rsid w:val="00CB5BC5"/>
    <w:rsid w:val="00CB5FDB"/>
    <w:rsid w:val="00CB62F7"/>
    <w:rsid w:val="00CB6402"/>
    <w:rsid w:val="00CB6443"/>
    <w:rsid w:val="00CB6A1E"/>
    <w:rsid w:val="00CB6DEB"/>
    <w:rsid w:val="00CB6DEC"/>
    <w:rsid w:val="00CB747B"/>
    <w:rsid w:val="00CB74B9"/>
    <w:rsid w:val="00CB7E99"/>
    <w:rsid w:val="00CC0021"/>
    <w:rsid w:val="00CC0B49"/>
    <w:rsid w:val="00CC18DB"/>
    <w:rsid w:val="00CC1A2C"/>
    <w:rsid w:val="00CC2379"/>
    <w:rsid w:val="00CC24F7"/>
    <w:rsid w:val="00CC36F7"/>
    <w:rsid w:val="00CC4AB5"/>
    <w:rsid w:val="00CC4AC7"/>
    <w:rsid w:val="00CC4D27"/>
    <w:rsid w:val="00CC5337"/>
    <w:rsid w:val="00CC53DB"/>
    <w:rsid w:val="00CC5AC9"/>
    <w:rsid w:val="00CC5C2A"/>
    <w:rsid w:val="00CC5F3B"/>
    <w:rsid w:val="00CC6363"/>
    <w:rsid w:val="00CC64FB"/>
    <w:rsid w:val="00CC6C59"/>
    <w:rsid w:val="00CC73EC"/>
    <w:rsid w:val="00CC79AC"/>
    <w:rsid w:val="00CD0A1B"/>
    <w:rsid w:val="00CD12B8"/>
    <w:rsid w:val="00CD1CF1"/>
    <w:rsid w:val="00CD1E63"/>
    <w:rsid w:val="00CD3F07"/>
    <w:rsid w:val="00CD5CE9"/>
    <w:rsid w:val="00CD62FF"/>
    <w:rsid w:val="00CD6966"/>
    <w:rsid w:val="00CD6C54"/>
    <w:rsid w:val="00CD6CE7"/>
    <w:rsid w:val="00CD78E5"/>
    <w:rsid w:val="00CE0465"/>
    <w:rsid w:val="00CE0CF0"/>
    <w:rsid w:val="00CE0EE7"/>
    <w:rsid w:val="00CE13C1"/>
    <w:rsid w:val="00CE1BAD"/>
    <w:rsid w:val="00CE1CFB"/>
    <w:rsid w:val="00CE2DE1"/>
    <w:rsid w:val="00CE312F"/>
    <w:rsid w:val="00CE4006"/>
    <w:rsid w:val="00CE48F8"/>
    <w:rsid w:val="00CE48FE"/>
    <w:rsid w:val="00CE51FE"/>
    <w:rsid w:val="00CE53B2"/>
    <w:rsid w:val="00CE5E74"/>
    <w:rsid w:val="00CE5F09"/>
    <w:rsid w:val="00CE652C"/>
    <w:rsid w:val="00CE6D23"/>
    <w:rsid w:val="00CE7BCE"/>
    <w:rsid w:val="00CF0A6B"/>
    <w:rsid w:val="00CF2371"/>
    <w:rsid w:val="00CF2BD0"/>
    <w:rsid w:val="00CF393E"/>
    <w:rsid w:val="00CF3B92"/>
    <w:rsid w:val="00CF3C09"/>
    <w:rsid w:val="00CF3E0E"/>
    <w:rsid w:val="00CF4102"/>
    <w:rsid w:val="00CF4B3A"/>
    <w:rsid w:val="00CF4E84"/>
    <w:rsid w:val="00CF501D"/>
    <w:rsid w:val="00CF52B4"/>
    <w:rsid w:val="00CF5392"/>
    <w:rsid w:val="00CF5BC0"/>
    <w:rsid w:val="00D00884"/>
    <w:rsid w:val="00D00EDA"/>
    <w:rsid w:val="00D00F7C"/>
    <w:rsid w:val="00D01C16"/>
    <w:rsid w:val="00D03943"/>
    <w:rsid w:val="00D03FA0"/>
    <w:rsid w:val="00D0428B"/>
    <w:rsid w:val="00D04666"/>
    <w:rsid w:val="00D04CCB"/>
    <w:rsid w:val="00D0506F"/>
    <w:rsid w:val="00D05280"/>
    <w:rsid w:val="00D05F2C"/>
    <w:rsid w:val="00D05FFD"/>
    <w:rsid w:val="00D060B2"/>
    <w:rsid w:val="00D06327"/>
    <w:rsid w:val="00D068BC"/>
    <w:rsid w:val="00D068C6"/>
    <w:rsid w:val="00D070EF"/>
    <w:rsid w:val="00D072F9"/>
    <w:rsid w:val="00D079D8"/>
    <w:rsid w:val="00D10B68"/>
    <w:rsid w:val="00D10D4E"/>
    <w:rsid w:val="00D11C5B"/>
    <w:rsid w:val="00D12181"/>
    <w:rsid w:val="00D1239E"/>
    <w:rsid w:val="00D138DD"/>
    <w:rsid w:val="00D13B01"/>
    <w:rsid w:val="00D13F15"/>
    <w:rsid w:val="00D1437D"/>
    <w:rsid w:val="00D14A77"/>
    <w:rsid w:val="00D1548A"/>
    <w:rsid w:val="00D15745"/>
    <w:rsid w:val="00D16261"/>
    <w:rsid w:val="00D16AB7"/>
    <w:rsid w:val="00D17989"/>
    <w:rsid w:val="00D17A21"/>
    <w:rsid w:val="00D20148"/>
    <w:rsid w:val="00D21034"/>
    <w:rsid w:val="00D21C7B"/>
    <w:rsid w:val="00D21EDA"/>
    <w:rsid w:val="00D2250C"/>
    <w:rsid w:val="00D2255E"/>
    <w:rsid w:val="00D22B44"/>
    <w:rsid w:val="00D2338F"/>
    <w:rsid w:val="00D2345C"/>
    <w:rsid w:val="00D23812"/>
    <w:rsid w:val="00D23DA8"/>
    <w:rsid w:val="00D24651"/>
    <w:rsid w:val="00D24A5A"/>
    <w:rsid w:val="00D253A8"/>
    <w:rsid w:val="00D254BB"/>
    <w:rsid w:val="00D2580D"/>
    <w:rsid w:val="00D2598F"/>
    <w:rsid w:val="00D2626A"/>
    <w:rsid w:val="00D267FE"/>
    <w:rsid w:val="00D26AFF"/>
    <w:rsid w:val="00D2712C"/>
    <w:rsid w:val="00D274EB"/>
    <w:rsid w:val="00D3018E"/>
    <w:rsid w:val="00D3038D"/>
    <w:rsid w:val="00D30FE8"/>
    <w:rsid w:val="00D31424"/>
    <w:rsid w:val="00D31ABC"/>
    <w:rsid w:val="00D32B92"/>
    <w:rsid w:val="00D33181"/>
    <w:rsid w:val="00D33280"/>
    <w:rsid w:val="00D33601"/>
    <w:rsid w:val="00D34536"/>
    <w:rsid w:val="00D347FB"/>
    <w:rsid w:val="00D34BB6"/>
    <w:rsid w:val="00D353B0"/>
    <w:rsid w:val="00D35A08"/>
    <w:rsid w:val="00D366E8"/>
    <w:rsid w:val="00D368F6"/>
    <w:rsid w:val="00D36B52"/>
    <w:rsid w:val="00D36F67"/>
    <w:rsid w:val="00D36F95"/>
    <w:rsid w:val="00D3790C"/>
    <w:rsid w:val="00D40270"/>
    <w:rsid w:val="00D40D22"/>
    <w:rsid w:val="00D42A6A"/>
    <w:rsid w:val="00D433A3"/>
    <w:rsid w:val="00D438DE"/>
    <w:rsid w:val="00D44168"/>
    <w:rsid w:val="00D44DC2"/>
    <w:rsid w:val="00D44FCB"/>
    <w:rsid w:val="00D45226"/>
    <w:rsid w:val="00D46639"/>
    <w:rsid w:val="00D47104"/>
    <w:rsid w:val="00D4715E"/>
    <w:rsid w:val="00D47175"/>
    <w:rsid w:val="00D505BB"/>
    <w:rsid w:val="00D50C61"/>
    <w:rsid w:val="00D51F13"/>
    <w:rsid w:val="00D536B4"/>
    <w:rsid w:val="00D53C87"/>
    <w:rsid w:val="00D54853"/>
    <w:rsid w:val="00D54D96"/>
    <w:rsid w:val="00D55656"/>
    <w:rsid w:val="00D55CFC"/>
    <w:rsid w:val="00D5680A"/>
    <w:rsid w:val="00D5722F"/>
    <w:rsid w:val="00D575F7"/>
    <w:rsid w:val="00D579EA"/>
    <w:rsid w:val="00D6014A"/>
    <w:rsid w:val="00D60CBF"/>
    <w:rsid w:val="00D62150"/>
    <w:rsid w:val="00D62C3D"/>
    <w:rsid w:val="00D63032"/>
    <w:rsid w:val="00D63A13"/>
    <w:rsid w:val="00D63D11"/>
    <w:rsid w:val="00D6453E"/>
    <w:rsid w:val="00D65A1C"/>
    <w:rsid w:val="00D65FB4"/>
    <w:rsid w:val="00D66302"/>
    <w:rsid w:val="00D663C5"/>
    <w:rsid w:val="00D66D18"/>
    <w:rsid w:val="00D6740D"/>
    <w:rsid w:val="00D70009"/>
    <w:rsid w:val="00D703C0"/>
    <w:rsid w:val="00D708A9"/>
    <w:rsid w:val="00D70CCE"/>
    <w:rsid w:val="00D718C4"/>
    <w:rsid w:val="00D719D2"/>
    <w:rsid w:val="00D71FCA"/>
    <w:rsid w:val="00D72300"/>
    <w:rsid w:val="00D73203"/>
    <w:rsid w:val="00D7324B"/>
    <w:rsid w:val="00D732F5"/>
    <w:rsid w:val="00D734B3"/>
    <w:rsid w:val="00D737CD"/>
    <w:rsid w:val="00D73886"/>
    <w:rsid w:val="00D74273"/>
    <w:rsid w:val="00D74383"/>
    <w:rsid w:val="00D7511B"/>
    <w:rsid w:val="00D75409"/>
    <w:rsid w:val="00D7560A"/>
    <w:rsid w:val="00D766CB"/>
    <w:rsid w:val="00D7696A"/>
    <w:rsid w:val="00D776E8"/>
    <w:rsid w:val="00D77BDD"/>
    <w:rsid w:val="00D80088"/>
    <w:rsid w:val="00D801EB"/>
    <w:rsid w:val="00D8052B"/>
    <w:rsid w:val="00D814A5"/>
    <w:rsid w:val="00D8192D"/>
    <w:rsid w:val="00D82B22"/>
    <w:rsid w:val="00D82F18"/>
    <w:rsid w:val="00D8338E"/>
    <w:rsid w:val="00D83522"/>
    <w:rsid w:val="00D839F8"/>
    <w:rsid w:val="00D84703"/>
    <w:rsid w:val="00D85315"/>
    <w:rsid w:val="00D85791"/>
    <w:rsid w:val="00D85A7C"/>
    <w:rsid w:val="00D85FBA"/>
    <w:rsid w:val="00D86167"/>
    <w:rsid w:val="00D867D7"/>
    <w:rsid w:val="00D8726D"/>
    <w:rsid w:val="00D90CC3"/>
    <w:rsid w:val="00D90F8D"/>
    <w:rsid w:val="00D9139D"/>
    <w:rsid w:val="00D91B62"/>
    <w:rsid w:val="00D91C23"/>
    <w:rsid w:val="00D923DB"/>
    <w:rsid w:val="00D928AB"/>
    <w:rsid w:val="00D92EF7"/>
    <w:rsid w:val="00D93037"/>
    <w:rsid w:val="00D9375B"/>
    <w:rsid w:val="00D93DAC"/>
    <w:rsid w:val="00D94398"/>
    <w:rsid w:val="00D947DE"/>
    <w:rsid w:val="00D94DD0"/>
    <w:rsid w:val="00D95D61"/>
    <w:rsid w:val="00D95EFF"/>
    <w:rsid w:val="00D95FA0"/>
    <w:rsid w:val="00D96399"/>
    <w:rsid w:val="00D96CAC"/>
    <w:rsid w:val="00D96CBC"/>
    <w:rsid w:val="00D96EA3"/>
    <w:rsid w:val="00D96EEA"/>
    <w:rsid w:val="00D971B2"/>
    <w:rsid w:val="00D97535"/>
    <w:rsid w:val="00D97DFE"/>
    <w:rsid w:val="00DA039A"/>
    <w:rsid w:val="00DA0847"/>
    <w:rsid w:val="00DA0BC2"/>
    <w:rsid w:val="00DA0EE7"/>
    <w:rsid w:val="00DA2D77"/>
    <w:rsid w:val="00DA35B7"/>
    <w:rsid w:val="00DA48E6"/>
    <w:rsid w:val="00DA4BDE"/>
    <w:rsid w:val="00DA680E"/>
    <w:rsid w:val="00DA6C64"/>
    <w:rsid w:val="00DA7798"/>
    <w:rsid w:val="00DB0894"/>
    <w:rsid w:val="00DB0B2D"/>
    <w:rsid w:val="00DB0C41"/>
    <w:rsid w:val="00DB19B2"/>
    <w:rsid w:val="00DB2657"/>
    <w:rsid w:val="00DB26E6"/>
    <w:rsid w:val="00DB28A8"/>
    <w:rsid w:val="00DB3A34"/>
    <w:rsid w:val="00DB3F94"/>
    <w:rsid w:val="00DB4BC1"/>
    <w:rsid w:val="00DB52BF"/>
    <w:rsid w:val="00DB6DCF"/>
    <w:rsid w:val="00DB7508"/>
    <w:rsid w:val="00DC0453"/>
    <w:rsid w:val="00DC1460"/>
    <w:rsid w:val="00DC16E8"/>
    <w:rsid w:val="00DC252B"/>
    <w:rsid w:val="00DC2DFA"/>
    <w:rsid w:val="00DC30DD"/>
    <w:rsid w:val="00DC3331"/>
    <w:rsid w:val="00DC3389"/>
    <w:rsid w:val="00DC4019"/>
    <w:rsid w:val="00DC4226"/>
    <w:rsid w:val="00DC445B"/>
    <w:rsid w:val="00DC49DF"/>
    <w:rsid w:val="00DC4DD5"/>
    <w:rsid w:val="00DC5083"/>
    <w:rsid w:val="00DC50E2"/>
    <w:rsid w:val="00DC60B4"/>
    <w:rsid w:val="00DC75C4"/>
    <w:rsid w:val="00DC7B6B"/>
    <w:rsid w:val="00DC7F1F"/>
    <w:rsid w:val="00DD0094"/>
    <w:rsid w:val="00DD071C"/>
    <w:rsid w:val="00DD0B2C"/>
    <w:rsid w:val="00DD1BFA"/>
    <w:rsid w:val="00DD1EF1"/>
    <w:rsid w:val="00DD2381"/>
    <w:rsid w:val="00DD3511"/>
    <w:rsid w:val="00DD4F30"/>
    <w:rsid w:val="00DD5985"/>
    <w:rsid w:val="00DD59A2"/>
    <w:rsid w:val="00DD5CED"/>
    <w:rsid w:val="00DD6058"/>
    <w:rsid w:val="00DD6349"/>
    <w:rsid w:val="00DD768A"/>
    <w:rsid w:val="00DE04E7"/>
    <w:rsid w:val="00DE0A46"/>
    <w:rsid w:val="00DE1216"/>
    <w:rsid w:val="00DE12FD"/>
    <w:rsid w:val="00DE1406"/>
    <w:rsid w:val="00DE15C2"/>
    <w:rsid w:val="00DE2FC9"/>
    <w:rsid w:val="00DE38CA"/>
    <w:rsid w:val="00DE3D62"/>
    <w:rsid w:val="00DE46EC"/>
    <w:rsid w:val="00DE4982"/>
    <w:rsid w:val="00DE4F4D"/>
    <w:rsid w:val="00DE5DAE"/>
    <w:rsid w:val="00DE6555"/>
    <w:rsid w:val="00DE731E"/>
    <w:rsid w:val="00DE7E4D"/>
    <w:rsid w:val="00DF0A0C"/>
    <w:rsid w:val="00DF0F70"/>
    <w:rsid w:val="00DF1C5A"/>
    <w:rsid w:val="00DF1CB5"/>
    <w:rsid w:val="00DF282E"/>
    <w:rsid w:val="00DF3740"/>
    <w:rsid w:val="00DF3897"/>
    <w:rsid w:val="00DF41AC"/>
    <w:rsid w:val="00DF4267"/>
    <w:rsid w:val="00DF45BE"/>
    <w:rsid w:val="00DF48C2"/>
    <w:rsid w:val="00DF4F60"/>
    <w:rsid w:val="00DF56EA"/>
    <w:rsid w:val="00DF5723"/>
    <w:rsid w:val="00DF5F12"/>
    <w:rsid w:val="00DF606A"/>
    <w:rsid w:val="00DF64FE"/>
    <w:rsid w:val="00DF6F65"/>
    <w:rsid w:val="00DF79B9"/>
    <w:rsid w:val="00DF7A65"/>
    <w:rsid w:val="00DF7E0B"/>
    <w:rsid w:val="00E009F9"/>
    <w:rsid w:val="00E00BBE"/>
    <w:rsid w:val="00E00E16"/>
    <w:rsid w:val="00E00FEF"/>
    <w:rsid w:val="00E017D7"/>
    <w:rsid w:val="00E01AD6"/>
    <w:rsid w:val="00E01CCD"/>
    <w:rsid w:val="00E01CE6"/>
    <w:rsid w:val="00E01F24"/>
    <w:rsid w:val="00E025BC"/>
    <w:rsid w:val="00E041FC"/>
    <w:rsid w:val="00E048FE"/>
    <w:rsid w:val="00E0528B"/>
    <w:rsid w:val="00E05356"/>
    <w:rsid w:val="00E065E4"/>
    <w:rsid w:val="00E071AA"/>
    <w:rsid w:val="00E07A2C"/>
    <w:rsid w:val="00E104AD"/>
    <w:rsid w:val="00E1090C"/>
    <w:rsid w:val="00E10C0F"/>
    <w:rsid w:val="00E11B6F"/>
    <w:rsid w:val="00E123D5"/>
    <w:rsid w:val="00E128D7"/>
    <w:rsid w:val="00E1294E"/>
    <w:rsid w:val="00E12999"/>
    <w:rsid w:val="00E13860"/>
    <w:rsid w:val="00E13F7C"/>
    <w:rsid w:val="00E14282"/>
    <w:rsid w:val="00E14771"/>
    <w:rsid w:val="00E147DD"/>
    <w:rsid w:val="00E15495"/>
    <w:rsid w:val="00E1562B"/>
    <w:rsid w:val="00E15C9B"/>
    <w:rsid w:val="00E16061"/>
    <w:rsid w:val="00E16711"/>
    <w:rsid w:val="00E16AE6"/>
    <w:rsid w:val="00E16B39"/>
    <w:rsid w:val="00E16D61"/>
    <w:rsid w:val="00E16D66"/>
    <w:rsid w:val="00E16EDE"/>
    <w:rsid w:val="00E17627"/>
    <w:rsid w:val="00E177D4"/>
    <w:rsid w:val="00E20D6B"/>
    <w:rsid w:val="00E21005"/>
    <w:rsid w:val="00E21016"/>
    <w:rsid w:val="00E21792"/>
    <w:rsid w:val="00E221B8"/>
    <w:rsid w:val="00E23107"/>
    <w:rsid w:val="00E23202"/>
    <w:rsid w:val="00E23247"/>
    <w:rsid w:val="00E2348A"/>
    <w:rsid w:val="00E2373B"/>
    <w:rsid w:val="00E23789"/>
    <w:rsid w:val="00E2381C"/>
    <w:rsid w:val="00E239D3"/>
    <w:rsid w:val="00E23B3C"/>
    <w:rsid w:val="00E2504D"/>
    <w:rsid w:val="00E250B9"/>
    <w:rsid w:val="00E251DB"/>
    <w:rsid w:val="00E25DDD"/>
    <w:rsid w:val="00E26BB1"/>
    <w:rsid w:val="00E26ED4"/>
    <w:rsid w:val="00E27279"/>
    <w:rsid w:val="00E30C4A"/>
    <w:rsid w:val="00E31448"/>
    <w:rsid w:val="00E31B37"/>
    <w:rsid w:val="00E32079"/>
    <w:rsid w:val="00E3263E"/>
    <w:rsid w:val="00E32C09"/>
    <w:rsid w:val="00E32D0C"/>
    <w:rsid w:val="00E33221"/>
    <w:rsid w:val="00E3341D"/>
    <w:rsid w:val="00E3446F"/>
    <w:rsid w:val="00E34B37"/>
    <w:rsid w:val="00E35434"/>
    <w:rsid w:val="00E3663E"/>
    <w:rsid w:val="00E36AEA"/>
    <w:rsid w:val="00E40359"/>
    <w:rsid w:val="00E40ACF"/>
    <w:rsid w:val="00E40B3A"/>
    <w:rsid w:val="00E41224"/>
    <w:rsid w:val="00E4126B"/>
    <w:rsid w:val="00E42830"/>
    <w:rsid w:val="00E42BF6"/>
    <w:rsid w:val="00E42D34"/>
    <w:rsid w:val="00E433A5"/>
    <w:rsid w:val="00E44F03"/>
    <w:rsid w:val="00E45664"/>
    <w:rsid w:val="00E45C90"/>
    <w:rsid w:val="00E4613E"/>
    <w:rsid w:val="00E46492"/>
    <w:rsid w:val="00E4707D"/>
    <w:rsid w:val="00E47864"/>
    <w:rsid w:val="00E4794E"/>
    <w:rsid w:val="00E47D49"/>
    <w:rsid w:val="00E5036C"/>
    <w:rsid w:val="00E50409"/>
    <w:rsid w:val="00E505F8"/>
    <w:rsid w:val="00E508B9"/>
    <w:rsid w:val="00E50E3D"/>
    <w:rsid w:val="00E5114A"/>
    <w:rsid w:val="00E5167F"/>
    <w:rsid w:val="00E529D7"/>
    <w:rsid w:val="00E53216"/>
    <w:rsid w:val="00E53934"/>
    <w:rsid w:val="00E54E31"/>
    <w:rsid w:val="00E54FC7"/>
    <w:rsid w:val="00E554CC"/>
    <w:rsid w:val="00E55B9F"/>
    <w:rsid w:val="00E569F3"/>
    <w:rsid w:val="00E56F94"/>
    <w:rsid w:val="00E6070C"/>
    <w:rsid w:val="00E60CF9"/>
    <w:rsid w:val="00E60D37"/>
    <w:rsid w:val="00E615CA"/>
    <w:rsid w:val="00E62B23"/>
    <w:rsid w:val="00E62D06"/>
    <w:rsid w:val="00E644F0"/>
    <w:rsid w:val="00E64541"/>
    <w:rsid w:val="00E652C9"/>
    <w:rsid w:val="00E658C3"/>
    <w:rsid w:val="00E65A84"/>
    <w:rsid w:val="00E65B8D"/>
    <w:rsid w:val="00E66B7C"/>
    <w:rsid w:val="00E66FC8"/>
    <w:rsid w:val="00E67F08"/>
    <w:rsid w:val="00E705C9"/>
    <w:rsid w:val="00E70741"/>
    <w:rsid w:val="00E70CE8"/>
    <w:rsid w:val="00E70DA8"/>
    <w:rsid w:val="00E71316"/>
    <w:rsid w:val="00E71A79"/>
    <w:rsid w:val="00E72B43"/>
    <w:rsid w:val="00E75222"/>
    <w:rsid w:val="00E75383"/>
    <w:rsid w:val="00E755F6"/>
    <w:rsid w:val="00E756D6"/>
    <w:rsid w:val="00E75711"/>
    <w:rsid w:val="00E75977"/>
    <w:rsid w:val="00E764C2"/>
    <w:rsid w:val="00E76F13"/>
    <w:rsid w:val="00E7718F"/>
    <w:rsid w:val="00E80468"/>
    <w:rsid w:val="00E80C4F"/>
    <w:rsid w:val="00E81A9A"/>
    <w:rsid w:val="00E83606"/>
    <w:rsid w:val="00E83777"/>
    <w:rsid w:val="00E84063"/>
    <w:rsid w:val="00E846D4"/>
    <w:rsid w:val="00E855FA"/>
    <w:rsid w:val="00E857DE"/>
    <w:rsid w:val="00E85849"/>
    <w:rsid w:val="00E8590A"/>
    <w:rsid w:val="00E8594D"/>
    <w:rsid w:val="00E85C21"/>
    <w:rsid w:val="00E85DC6"/>
    <w:rsid w:val="00E862FC"/>
    <w:rsid w:val="00E865B9"/>
    <w:rsid w:val="00E865FD"/>
    <w:rsid w:val="00E8701B"/>
    <w:rsid w:val="00E8706B"/>
    <w:rsid w:val="00E87927"/>
    <w:rsid w:val="00E90466"/>
    <w:rsid w:val="00E90588"/>
    <w:rsid w:val="00E90FCB"/>
    <w:rsid w:val="00E92A9C"/>
    <w:rsid w:val="00E930CB"/>
    <w:rsid w:val="00E93A57"/>
    <w:rsid w:val="00E93C53"/>
    <w:rsid w:val="00E94004"/>
    <w:rsid w:val="00E953BB"/>
    <w:rsid w:val="00E95A1F"/>
    <w:rsid w:val="00E95C63"/>
    <w:rsid w:val="00E95DE8"/>
    <w:rsid w:val="00E96D7C"/>
    <w:rsid w:val="00E96DBC"/>
    <w:rsid w:val="00E96F9C"/>
    <w:rsid w:val="00E9765F"/>
    <w:rsid w:val="00E978BE"/>
    <w:rsid w:val="00EA02D9"/>
    <w:rsid w:val="00EA0C5E"/>
    <w:rsid w:val="00EA17CB"/>
    <w:rsid w:val="00EA19F3"/>
    <w:rsid w:val="00EA2D95"/>
    <w:rsid w:val="00EA315A"/>
    <w:rsid w:val="00EA3A3E"/>
    <w:rsid w:val="00EA3C97"/>
    <w:rsid w:val="00EA507F"/>
    <w:rsid w:val="00EA5E8E"/>
    <w:rsid w:val="00EA5FC8"/>
    <w:rsid w:val="00EA6A08"/>
    <w:rsid w:val="00EA7072"/>
    <w:rsid w:val="00EA7259"/>
    <w:rsid w:val="00EA7BEA"/>
    <w:rsid w:val="00EB0246"/>
    <w:rsid w:val="00EB0507"/>
    <w:rsid w:val="00EB0B13"/>
    <w:rsid w:val="00EB0D2C"/>
    <w:rsid w:val="00EB12C3"/>
    <w:rsid w:val="00EB17D0"/>
    <w:rsid w:val="00EB1EE8"/>
    <w:rsid w:val="00EB2DE3"/>
    <w:rsid w:val="00EB3D27"/>
    <w:rsid w:val="00EB403D"/>
    <w:rsid w:val="00EB4A8C"/>
    <w:rsid w:val="00EB4D81"/>
    <w:rsid w:val="00EB4E9D"/>
    <w:rsid w:val="00EB5462"/>
    <w:rsid w:val="00EB5BBC"/>
    <w:rsid w:val="00EB6D98"/>
    <w:rsid w:val="00EB782A"/>
    <w:rsid w:val="00EB7E10"/>
    <w:rsid w:val="00EC008A"/>
    <w:rsid w:val="00EC035C"/>
    <w:rsid w:val="00EC0B1C"/>
    <w:rsid w:val="00EC0D8E"/>
    <w:rsid w:val="00EC0EB2"/>
    <w:rsid w:val="00EC0F98"/>
    <w:rsid w:val="00EC1869"/>
    <w:rsid w:val="00EC1E04"/>
    <w:rsid w:val="00EC1FDA"/>
    <w:rsid w:val="00EC32F0"/>
    <w:rsid w:val="00EC3754"/>
    <w:rsid w:val="00EC396F"/>
    <w:rsid w:val="00EC3F7B"/>
    <w:rsid w:val="00EC418F"/>
    <w:rsid w:val="00EC46E1"/>
    <w:rsid w:val="00EC4F55"/>
    <w:rsid w:val="00EC574D"/>
    <w:rsid w:val="00EC6055"/>
    <w:rsid w:val="00EC64FD"/>
    <w:rsid w:val="00EC660E"/>
    <w:rsid w:val="00EC70AD"/>
    <w:rsid w:val="00ED01C2"/>
    <w:rsid w:val="00ED03FD"/>
    <w:rsid w:val="00ED04BA"/>
    <w:rsid w:val="00ED108A"/>
    <w:rsid w:val="00ED11F1"/>
    <w:rsid w:val="00ED122F"/>
    <w:rsid w:val="00ED16C1"/>
    <w:rsid w:val="00ED22BD"/>
    <w:rsid w:val="00ED2442"/>
    <w:rsid w:val="00ED294E"/>
    <w:rsid w:val="00ED2C55"/>
    <w:rsid w:val="00ED3422"/>
    <w:rsid w:val="00ED42A4"/>
    <w:rsid w:val="00ED4678"/>
    <w:rsid w:val="00ED6B79"/>
    <w:rsid w:val="00ED78DB"/>
    <w:rsid w:val="00EE0E9A"/>
    <w:rsid w:val="00EE1085"/>
    <w:rsid w:val="00EE119A"/>
    <w:rsid w:val="00EE1C3D"/>
    <w:rsid w:val="00EE20E9"/>
    <w:rsid w:val="00EE2B84"/>
    <w:rsid w:val="00EE367E"/>
    <w:rsid w:val="00EE37B6"/>
    <w:rsid w:val="00EE38C2"/>
    <w:rsid w:val="00EE3D5D"/>
    <w:rsid w:val="00EE40F1"/>
    <w:rsid w:val="00EE44C7"/>
    <w:rsid w:val="00EE4670"/>
    <w:rsid w:val="00EE4A9E"/>
    <w:rsid w:val="00EE4D91"/>
    <w:rsid w:val="00EE61D8"/>
    <w:rsid w:val="00EE6640"/>
    <w:rsid w:val="00EE6EC7"/>
    <w:rsid w:val="00EE7932"/>
    <w:rsid w:val="00EE7D9B"/>
    <w:rsid w:val="00EF0BB1"/>
    <w:rsid w:val="00EF159A"/>
    <w:rsid w:val="00EF1A4F"/>
    <w:rsid w:val="00EF24B7"/>
    <w:rsid w:val="00EF276B"/>
    <w:rsid w:val="00EF2C0C"/>
    <w:rsid w:val="00EF2EFF"/>
    <w:rsid w:val="00EF2FDF"/>
    <w:rsid w:val="00EF31B7"/>
    <w:rsid w:val="00EF36D5"/>
    <w:rsid w:val="00EF4491"/>
    <w:rsid w:val="00EF4530"/>
    <w:rsid w:val="00EF4A98"/>
    <w:rsid w:val="00EF6445"/>
    <w:rsid w:val="00EF675C"/>
    <w:rsid w:val="00EF7799"/>
    <w:rsid w:val="00EF7B83"/>
    <w:rsid w:val="00F0006A"/>
    <w:rsid w:val="00F00454"/>
    <w:rsid w:val="00F006DE"/>
    <w:rsid w:val="00F00A8D"/>
    <w:rsid w:val="00F00D5C"/>
    <w:rsid w:val="00F01674"/>
    <w:rsid w:val="00F01E34"/>
    <w:rsid w:val="00F02D73"/>
    <w:rsid w:val="00F03ECF"/>
    <w:rsid w:val="00F04042"/>
    <w:rsid w:val="00F048A5"/>
    <w:rsid w:val="00F052C3"/>
    <w:rsid w:val="00F057A6"/>
    <w:rsid w:val="00F06244"/>
    <w:rsid w:val="00F065E8"/>
    <w:rsid w:val="00F06DA7"/>
    <w:rsid w:val="00F0761E"/>
    <w:rsid w:val="00F077B0"/>
    <w:rsid w:val="00F104FE"/>
    <w:rsid w:val="00F10CB6"/>
    <w:rsid w:val="00F10EDD"/>
    <w:rsid w:val="00F1101A"/>
    <w:rsid w:val="00F1188E"/>
    <w:rsid w:val="00F11B93"/>
    <w:rsid w:val="00F1258F"/>
    <w:rsid w:val="00F128A1"/>
    <w:rsid w:val="00F1306D"/>
    <w:rsid w:val="00F1339E"/>
    <w:rsid w:val="00F143E6"/>
    <w:rsid w:val="00F148B8"/>
    <w:rsid w:val="00F14937"/>
    <w:rsid w:val="00F15A92"/>
    <w:rsid w:val="00F15E6A"/>
    <w:rsid w:val="00F166FA"/>
    <w:rsid w:val="00F17AF4"/>
    <w:rsid w:val="00F20073"/>
    <w:rsid w:val="00F2055B"/>
    <w:rsid w:val="00F20B02"/>
    <w:rsid w:val="00F210C6"/>
    <w:rsid w:val="00F21A90"/>
    <w:rsid w:val="00F21AF7"/>
    <w:rsid w:val="00F22324"/>
    <w:rsid w:val="00F2272D"/>
    <w:rsid w:val="00F23966"/>
    <w:rsid w:val="00F23C34"/>
    <w:rsid w:val="00F23E35"/>
    <w:rsid w:val="00F24D48"/>
    <w:rsid w:val="00F24DBD"/>
    <w:rsid w:val="00F27857"/>
    <w:rsid w:val="00F27DCA"/>
    <w:rsid w:val="00F3107F"/>
    <w:rsid w:val="00F32674"/>
    <w:rsid w:val="00F32A33"/>
    <w:rsid w:val="00F33D56"/>
    <w:rsid w:val="00F33E74"/>
    <w:rsid w:val="00F343C7"/>
    <w:rsid w:val="00F34482"/>
    <w:rsid w:val="00F34805"/>
    <w:rsid w:val="00F34D62"/>
    <w:rsid w:val="00F35147"/>
    <w:rsid w:val="00F352F6"/>
    <w:rsid w:val="00F356E4"/>
    <w:rsid w:val="00F35BAF"/>
    <w:rsid w:val="00F35C09"/>
    <w:rsid w:val="00F35C57"/>
    <w:rsid w:val="00F364AD"/>
    <w:rsid w:val="00F36BBB"/>
    <w:rsid w:val="00F37252"/>
    <w:rsid w:val="00F40277"/>
    <w:rsid w:val="00F40539"/>
    <w:rsid w:val="00F413C1"/>
    <w:rsid w:val="00F426A0"/>
    <w:rsid w:val="00F428DE"/>
    <w:rsid w:val="00F42F11"/>
    <w:rsid w:val="00F4313D"/>
    <w:rsid w:val="00F434F5"/>
    <w:rsid w:val="00F43517"/>
    <w:rsid w:val="00F4437C"/>
    <w:rsid w:val="00F443F7"/>
    <w:rsid w:val="00F453EB"/>
    <w:rsid w:val="00F4557F"/>
    <w:rsid w:val="00F46F66"/>
    <w:rsid w:val="00F47800"/>
    <w:rsid w:val="00F47935"/>
    <w:rsid w:val="00F47CE3"/>
    <w:rsid w:val="00F50AD5"/>
    <w:rsid w:val="00F512AD"/>
    <w:rsid w:val="00F52457"/>
    <w:rsid w:val="00F52639"/>
    <w:rsid w:val="00F52CD0"/>
    <w:rsid w:val="00F53580"/>
    <w:rsid w:val="00F545C9"/>
    <w:rsid w:val="00F548ED"/>
    <w:rsid w:val="00F54CB3"/>
    <w:rsid w:val="00F55EA7"/>
    <w:rsid w:val="00F569E7"/>
    <w:rsid w:val="00F57001"/>
    <w:rsid w:val="00F57724"/>
    <w:rsid w:val="00F57E04"/>
    <w:rsid w:val="00F6055C"/>
    <w:rsid w:val="00F605A2"/>
    <w:rsid w:val="00F609BF"/>
    <w:rsid w:val="00F60AC9"/>
    <w:rsid w:val="00F61359"/>
    <w:rsid w:val="00F61924"/>
    <w:rsid w:val="00F61E4C"/>
    <w:rsid w:val="00F620A1"/>
    <w:rsid w:val="00F62495"/>
    <w:rsid w:val="00F627C5"/>
    <w:rsid w:val="00F62B7A"/>
    <w:rsid w:val="00F62DAE"/>
    <w:rsid w:val="00F63247"/>
    <w:rsid w:val="00F63DD0"/>
    <w:rsid w:val="00F643FC"/>
    <w:rsid w:val="00F64686"/>
    <w:rsid w:val="00F654F2"/>
    <w:rsid w:val="00F65AA3"/>
    <w:rsid w:val="00F661E6"/>
    <w:rsid w:val="00F663F1"/>
    <w:rsid w:val="00F6686D"/>
    <w:rsid w:val="00F66C9F"/>
    <w:rsid w:val="00F66FA8"/>
    <w:rsid w:val="00F676A6"/>
    <w:rsid w:val="00F67982"/>
    <w:rsid w:val="00F67EF8"/>
    <w:rsid w:val="00F7015F"/>
    <w:rsid w:val="00F7216F"/>
    <w:rsid w:val="00F723F3"/>
    <w:rsid w:val="00F7259F"/>
    <w:rsid w:val="00F72836"/>
    <w:rsid w:val="00F72E2F"/>
    <w:rsid w:val="00F72EF9"/>
    <w:rsid w:val="00F736EC"/>
    <w:rsid w:val="00F7372D"/>
    <w:rsid w:val="00F7394E"/>
    <w:rsid w:val="00F74187"/>
    <w:rsid w:val="00F7489D"/>
    <w:rsid w:val="00F7552B"/>
    <w:rsid w:val="00F75879"/>
    <w:rsid w:val="00F75A9B"/>
    <w:rsid w:val="00F76D1D"/>
    <w:rsid w:val="00F81168"/>
    <w:rsid w:val="00F81A92"/>
    <w:rsid w:val="00F82885"/>
    <w:rsid w:val="00F83767"/>
    <w:rsid w:val="00F83EBD"/>
    <w:rsid w:val="00F84B11"/>
    <w:rsid w:val="00F852DC"/>
    <w:rsid w:val="00F85956"/>
    <w:rsid w:val="00F86A92"/>
    <w:rsid w:val="00F8727A"/>
    <w:rsid w:val="00F906CA"/>
    <w:rsid w:val="00F90877"/>
    <w:rsid w:val="00F90FD1"/>
    <w:rsid w:val="00F91730"/>
    <w:rsid w:val="00F91F45"/>
    <w:rsid w:val="00F92775"/>
    <w:rsid w:val="00F927F1"/>
    <w:rsid w:val="00F92C35"/>
    <w:rsid w:val="00F9305E"/>
    <w:rsid w:val="00F93BC4"/>
    <w:rsid w:val="00F93BCD"/>
    <w:rsid w:val="00F93F96"/>
    <w:rsid w:val="00F94DE0"/>
    <w:rsid w:val="00F94F04"/>
    <w:rsid w:val="00F95338"/>
    <w:rsid w:val="00FA06D6"/>
    <w:rsid w:val="00FA0C55"/>
    <w:rsid w:val="00FA10AB"/>
    <w:rsid w:val="00FA1117"/>
    <w:rsid w:val="00FA15AD"/>
    <w:rsid w:val="00FA19E0"/>
    <w:rsid w:val="00FA1DAC"/>
    <w:rsid w:val="00FA405E"/>
    <w:rsid w:val="00FA46BB"/>
    <w:rsid w:val="00FA5572"/>
    <w:rsid w:val="00FA60F7"/>
    <w:rsid w:val="00FA6435"/>
    <w:rsid w:val="00FA6BA0"/>
    <w:rsid w:val="00FA6ECB"/>
    <w:rsid w:val="00FA7683"/>
    <w:rsid w:val="00FA7801"/>
    <w:rsid w:val="00FA7BF6"/>
    <w:rsid w:val="00FB00AC"/>
    <w:rsid w:val="00FB01EE"/>
    <w:rsid w:val="00FB01F9"/>
    <w:rsid w:val="00FB0CBF"/>
    <w:rsid w:val="00FB2048"/>
    <w:rsid w:val="00FB2A92"/>
    <w:rsid w:val="00FB2CDE"/>
    <w:rsid w:val="00FB398A"/>
    <w:rsid w:val="00FB3F54"/>
    <w:rsid w:val="00FB4111"/>
    <w:rsid w:val="00FB52AA"/>
    <w:rsid w:val="00FB5CEA"/>
    <w:rsid w:val="00FB7677"/>
    <w:rsid w:val="00FB7B89"/>
    <w:rsid w:val="00FB7CCF"/>
    <w:rsid w:val="00FC00BF"/>
    <w:rsid w:val="00FC01E9"/>
    <w:rsid w:val="00FC05FE"/>
    <w:rsid w:val="00FC0807"/>
    <w:rsid w:val="00FC0C1A"/>
    <w:rsid w:val="00FC0D99"/>
    <w:rsid w:val="00FC25C5"/>
    <w:rsid w:val="00FC2745"/>
    <w:rsid w:val="00FC3210"/>
    <w:rsid w:val="00FC3DEC"/>
    <w:rsid w:val="00FC4442"/>
    <w:rsid w:val="00FC448B"/>
    <w:rsid w:val="00FC4786"/>
    <w:rsid w:val="00FC54A7"/>
    <w:rsid w:val="00FC54D1"/>
    <w:rsid w:val="00FC57B5"/>
    <w:rsid w:val="00FC6905"/>
    <w:rsid w:val="00FC6DC8"/>
    <w:rsid w:val="00FC73C5"/>
    <w:rsid w:val="00FC781D"/>
    <w:rsid w:val="00FC7EC8"/>
    <w:rsid w:val="00FD000F"/>
    <w:rsid w:val="00FD04EF"/>
    <w:rsid w:val="00FD0F1C"/>
    <w:rsid w:val="00FD14BA"/>
    <w:rsid w:val="00FD1637"/>
    <w:rsid w:val="00FD1932"/>
    <w:rsid w:val="00FD214D"/>
    <w:rsid w:val="00FD285E"/>
    <w:rsid w:val="00FD2BD7"/>
    <w:rsid w:val="00FD2E96"/>
    <w:rsid w:val="00FD36F6"/>
    <w:rsid w:val="00FD38FB"/>
    <w:rsid w:val="00FD3CF6"/>
    <w:rsid w:val="00FD3DE9"/>
    <w:rsid w:val="00FD402D"/>
    <w:rsid w:val="00FD4550"/>
    <w:rsid w:val="00FD4947"/>
    <w:rsid w:val="00FD4CD3"/>
    <w:rsid w:val="00FD55F1"/>
    <w:rsid w:val="00FD5B1A"/>
    <w:rsid w:val="00FD5BB8"/>
    <w:rsid w:val="00FD6040"/>
    <w:rsid w:val="00FD6C20"/>
    <w:rsid w:val="00FD7568"/>
    <w:rsid w:val="00FD7C26"/>
    <w:rsid w:val="00FE1279"/>
    <w:rsid w:val="00FE1421"/>
    <w:rsid w:val="00FE1DE1"/>
    <w:rsid w:val="00FE21C5"/>
    <w:rsid w:val="00FE3071"/>
    <w:rsid w:val="00FE38EC"/>
    <w:rsid w:val="00FE390C"/>
    <w:rsid w:val="00FE3AD7"/>
    <w:rsid w:val="00FE3CD8"/>
    <w:rsid w:val="00FE46E8"/>
    <w:rsid w:val="00FE5184"/>
    <w:rsid w:val="00FE64A0"/>
    <w:rsid w:val="00FE6B65"/>
    <w:rsid w:val="00FE6D23"/>
    <w:rsid w:val="00FF08CC"/>
    <w:rsid w:val="00FF0CD4"/>
    <w:rsid w:val="00FF13F6"/>
    <w:rsid w:val="00FF1C0E"/>
    <w:rsid w:val="00FF2165"/>
    <w:rsid w:val="00FF259C"/>
    <w:rsid w:val="00FF2894"/>
    <w:rsid w:val="00FF3EB4"/>
    <w:rsid w:val="00FF4177"/>
    <w:rsid w:val="00FF44FE"/>
    <w:rsid w:val="00FF4CC5"/>
    <w:rsid w:val="00FF5A4F"/>
    <w:rsid w:val="00FF5B76"/>
    <w:rsid w:val="00FF6DCF"/>
    <w:rsid w:val="00FF7C71"/>
    <w:rsid w:val="010328CE"/>
    <w:rsid w:val="0128088E"/>
    <w:rsid w:val="01AF1848"/>
    <w:rsid w:val="01E35AF8"/>
    <w:rsid w:val="01EE3E72"/>
    <w:rsid w:val="02272298"/>
    <w:rsid w:val="02291B80"/>
    <w:rsid w:val="022A7C21"/>
    <w:rsid w:val="02626578"/>
    <w:rsid w:val="026E7FD6"/>
    <w:rsid w:val="028C0E37"/>
    <w:rsid w:val="02BE2D15"/>
    <w:rsid w:val="02E124B9"/>
    <w:rsid w:val="02F40A7F"/>
    <w:rsid w:val="03236827"/>
    <w:rsid w:val="03393F6B"/>
    <w:rsid w:val="037B1C26"/>
    <w:rsid w:val="03884D4D"/>
    <w:rsid w:val="04765D6C"/>
    <w:rsid w:val="04FE22AD"/>
    <w:rsid w:val="05DC368F"/>
    <w:rsid w:val="0666718C"/>
    <w:rsid w:val="066739C9"/>
    <w:rsid w:val="066F7E78"/>
    <w:rsid w:val="06C535E0"/>
    <w:rsid w:val="07082C82"/>
    <w:rsid w:val="07085894"/>
    <w:rsid w:val="07777E8F"/>
    <w:rsid w:val="07900FD1"/>
    <w:rsid w:val="07D92139"/>
    <w:rsid w:val="07F209E5"/>
    <w:rsid w:val="08490DB2"/>
    <w:rsid w:val="0874154F"/>
    <w:rsid w:val="08BB74EA"/>
    <w:rsid w:val="0A1C2B09"/>
    <w:rsid w:val="0A401351"/>
    <w:rsid w:val="0A9026EB"/>
    <w:rsid w:val="0B0E0303"/>
    <w:rsid w:val="0B3D4F0B"/>
    <w:rsid w:val="0B533329"/>
    <w:rsid w:val="0B9B3CF7"/>
    <w:rsid w:val="0BBC2661"/>
    <w:rsid w:val="0BDF1D2A"/>
    <w:rsid w:val="0C270372"/>
    <w:rsid w:val="0CD13A88"/>
    <w:rsid w:val="0D1F33C5"/>
    <w:rsid w:val="0D6919FE"/>
    <w:rsid w:val="0D6A6DD7"/>
    <w:rsid w:val="0D7E455E"/>
    <w:rsid w:val="0DCB4534"/>
    <w:rsid w:val="0E2465B0"/>
    <w:rsid w:val="0E7047DC"/>
    <w:rsid w:val="0E7E6696"/>
    <w:rsid w:val="0E992D56"/>
    <w:rsid w:val="0E996BBA"/>
    <w:rsid w:val="0EB07105"/>
    <w:rsid w:val="0EC366A4"/>
    <w:rsid w:val="0F777101"/>
    <w:rsid w:val="10FC5704"/>
    <w:rsid w:val="1191673A"/>
    <w:rsid w:val="11B55A96"/>
    <w:rsid w:val="124D0EF1"/>
    <w:rsid w:val="13702B0A"/>
    <w:rsid w:val="13773CE6"/>
    <w:rsid w:val="13D018FA"/>
    <w:rsid w:val="14087167"/>
    <w:rsid w:val="140B4D0C"/>
    <w:rsid w:val="14212BF2"/>
    <w:rsid w:val="14A72841"/>
    <w:rsid w:val="14BC6F62"/>
    <w:rsid w:val="14F115ED"/>
    <w:rsid w:val="152171B2"/>
    <w:rsid w:val="15775BE0"/>
    <w:rsid w:val="160A4CF7"/>
    <w:rsid w:val="161901E2"/>
    <w:rsid w:val="1671241A"/>
    <w:rsid w:val="16BA4EC9"/>
    <w:rsid w:val="16C62DE7"/>
    <w:rsid w:val="16F023AC"/>
    <w:rsid w:val="16FE0935"/>
    <w:rsid w:val="17993F8B"/>
    <w:rsid w:val="179C710B"/>
    <w:rsid w:val="17CA6FBB"/>
    <w:rsid w:val="17F373FD"/>
    <w:rsid w:val="180549B2"/>
    <w:rsid w:val="180D297C"/>
    <w:rsid w:val="18213933"/>
    <w:rsid w:val="18514CA1"/>
    <w:rsid w:val="18862EEF"/>
    <w:rsid w:val="18ED3E54"/>
    <w:rsid w:val="193250D3"/>
    <w:rsid w:val="19E25F79"/>
    <w:rsid w:val="1A7C73FC"/>
    <w:rsid w:val="1ACE017F"/>
    <w:rsid w:val="1B787ED1"/>
    <w:rsid w:val="1BA01BA4"/>
    <w:rsid w:val="1BEA4C7B"/>
    <w:rsid w:val="1CAB37D7"/>
    <w:rsid w:val="1D0F0A24"/>
    <w:rsid w:val="1D1723E5"/>
    <w:rsid w:val="1D5908A2"/>
    <w:rsid w:val="1D6668A7"/>
    <w:rsid w:val="1DF05BCA"/>
    <w:rsid w:val="1E682247"/>
    <w:rsid w:val="1E6A3805"/>
    <w:rsid w:val="1F4443E9"/>
    <w:rsid w:val="1FB145EB"/>
    <w:rsid w:val="205D7DA0"/>
    <w:rsid w:val="20A307FE"/>
    <w:rsid w:val="20D52869"/>
    <w:rsid w:val="21316736"/>
    <w:rsid w:val="213F5CC8"/>
    <w:rsid w:val="21726A0A"/>
    <w:rsid w:val="21B67FA2"/>
    <w:rsid w:val="22110C9D"/>
    <w:rsid w:val="2269180F"/>
    <w:rsid w:val="234A6089"/>
    <w:rsid w:val="235B7ACE"/>
    <w:rsid w:val="23C6460C"/>
    <w:rsid w:val="2429268F"/>
    <w:rsid w:val="247E35DB"/>
    <w:rsid w:val="24835AEF"/>
    <w:rsid w:val="24AE33BD"/>
    <w:rsid w:val="24B90F7C"/>
    <w:rsid w:val="24D47928"/>
    <w:rsid w:val="25865F0B"/>
    <w:rsid w:val="25894E4B"/>
    <w:rsid w:val="25A472C3"/>
    <w:rsid w:val="25BE473E"/>
    <w:rsid w:val="263077DA"/>
    <w:rsid w:val="26DD2535"/>
    <w:rsid w:val="27385739"/>
    <w:rsid w:val="27420F3C"/>
    <w:rsid w:val="27827AE0"/>
    <w:rsid w:val="27AE3B90"/>
    <w:rsid w:val="28166F6A"/>
    <w:rsid w:val="2854518D"/>
    <w:rsid w:val="286F396C"/>
    <w:rsid w:val="28824707"/>
    <w:rsid w:val="28987BFC"/>
    <w:rsid w:val="28D50B36"/>
    <w:rsid w:val="28DF41AC"/>
    <w:rsid w:val="29755307"/>
    <w:rsid w:val="29983470"/>
    <w:rsid w:val="299952EE"/>
    <w:rsid w:val="29EC0ACA"/>
    <w:rsid w:val="2A6B608D"/>
    <w:rsid w:val="2AD26D7F"/>
    <w:rsid w:val="2ADC5B6C"/>
    <w:rsid w:val="2B4E027D"/>
    <w:rsid w:val="2B8C67FB"/>
    <w:rsid w:val="2BB552AB"/>
    <w:rsid w:val="2C19053D"/>
    <w:rsid w:val="2C4B3353"/>
    <w:rsid w:val="2C6B7429"/>
    <w:rsid w:val="2C87274F"/>
    <w:rsid w:val="2CE96778"/>
    <w:rsid w:val="2D5E0D2F"/>
    <w:rsid w:val="2D8C55EF"/>
    <w:rsid w:val="2DA63F3A"/>
    <w:rsid w:val="2DD43618"/>
    <w:rsid w:val="2E302DE4"/>
    <w:rsid w:val="2E5F6152"/>
    <w:rsid w:val="2ECD1545"/>
    <w:rsid w:val="2F4033D5"/>
    <w:rsid w:val="2F4F343E"/>
    <w:rsid w:val="30001EE0"/>
    <w:rsid w:val="30186A36"/>
    <w:rsid w:val="311A6B49"/>
    <w:rsid w:val="31793D64"/>
    <w:rsid w:val="31AA5CE4"/>
    <w:rsid w:val="31CF23EF"/>
    <w:rsid w:val="3211496E"/>
    <w:rsid w:val="32644DAF"/>
    <w:rsid w:val="32F67D1E"/>
    <w:rsid w:val="332204F9"/>
    <w:rsid w:val="33C25E79"/>
    <w:rsid w:val="33D17753"/>
    <w:rsid w:val="33DE38C4"/>
    <w:rsid w:val="33ED0FD2"/>
    <w:rsid w:val="3411315F"/>
    <w:rsid w:val="3421746C"/>
    <w:rsid w:val="34282A42"/>
    <w:rsid w:val="349A2B98"/>
    <w:rsid w:val="349C4535"/>
    <w:rsid w:val="34C92F6D"/>
    <w:rsid w:val="34E44CC3"/>
    <w:rsid w:val="35166AF1"/>
    <w:rsid w:val="35B2631A"/>
    <w:rsid w:val="36062891"/>
    <w:rsid w:val="361B7105"/>
    <w:rsid w:val="36487A7B"/>
    <w:rsid w:val="366D669A"/>
    <w:rsid w:val="36DB7DD3"/>
    <w:rsid w:val="37AC5B10"/>
    <w:rsid w:val="37B75BAE"/>
    <w:rsid w:val="37DA5E84"/>
    <w:rsid w:val="383A76CA"/>
    <w:rsid w:val="388336D0"/>
    <w:rsid w:val="38E041EC"/>
    <w:rsid w:val="38EB74D7"/>
    <w:rsid w:val="393044ED"/>
    <w:rsid w:val="396D659F"/>
    <w:rsid w:val="398005DB"/>
    <w:rsid w:val="39FB70F9"/>
    <w:rsid w:val="3A031348"/>
    <w:rsid w:val="3A5E0AE4"/>
    <w:rsid w:val="3A857E45"/>
    <w:rsid w:val="3A9E48AA"/>
    <w:rsid w:val="3AB21281"/>
    <w:rsid w:val="3AC3169D"/>
    <w:rsid w:val="3ACB0606"/>
    <w:rsid w:val="3AD97DD4"/>
    <w:rsid w:val="3AFE4FAF"/>
    <w:rsid w:val="3B097891"/>
    <w:rsid w:val="3BC313EE"/>
    <w:rsid w:val="3CA83FE7"/>
    <w:rsid w:val="3CB313B4"/>
    <w:rsid w:val="3CB424AA"/>
    <w:rsid w:val="3D074752"/>
    <w:rsid w:val="3D1A7D1B"/>
    <w:rsid w:val="3D702CBB"/>
    <w:rsid w:val="3DC158B5"/>
    <w:rsid w:val="3DF7069E"/>
    <w:rsid w:val="3EBE15EB"/>
    <w:rsid w:val="3EF57013"/>
    <w:rsid w:val="3F280700"/>
    <w:rsid w:val="3F287486"/>
    <w:rsid w:val="3F6953A2"/>
    <w:rsid w:val="3FB32368"/>
    <w:rsid w:val="40123295"/>
    <w:rsid w:val="4015459C"/>
    <w:rsid w:val="401A0F2D"/>
    <w:rsid w:val="40C03B29"/>
    <w:rsid w:val="41001A01"/>
    <w:rsid w:val="416F3B95"/>
    <w:rsid w:val="41C356A3"/>
    <w:rsid w:val="41DF126C"/>
    <w:rsid w:val="41FA0E34"/>
    <w:rsid w:val="4238697E"/>
    <w:rsid w:val="424676C2"/>
    <w:rsid w:val="42B367B7"/>
    <w:rsid w:val="4302393B"/>
    <w:rsid w:val="439D2288"/>
    <w:rsid w:val="43C3778D"/>
    <w:rsid w:val="44231D04"/>
    <w:rsid w:val="442F0286"/>
    <w:rsid w:val="44523C96"/>
    <w:rsid w:val="44670B79"/>
    <w:rsid w:val="447B5F6A"/>
    <w:rsid w:val="44EF388B"/>
    <w:rsid w:val="452138E9"/>
    <w:rsid w:val="454601CD"/>
    <w:rsid w:val="454703E4"/>
    <w:rsid w:val="458F53F4"/>
    <w:rsid w:val="46775370"/>
    <w:rsid w:val="47072BB7"/>
    <w:rsid w:val="471D41EB"/>
    <w:rsid w:val="47813856"/>
    <w:rsid w:val="47C03745"/>
    <w:rsid w:val="47F97AA4"/>
    <w:rsid w:val="484F327B"/>
    <w:rsid w:val="485F1C64"/>
    <w:rsid w:val="487A0A62"/>
    <w:rsid w:val="49060939"/>
    <w:rsid w:val="49777758"/>
    <w:rsid w:val="49984205"/>
    <w:rsid w:val="4A313CC3"/>
    <w:rsid w:val="4A7138D8"/>
    <w:rsid w:val="4A7415B6"/>
    <w:rsid w:val="4A950B1C"/>
    <w:rsid w:val="4ABE5401"/>
    <w:rsid w:val="4AEA54C0"/>
    <w:rsid w:val="4AF225B7"/>
    <w:rsid w:val="4B342EBA"/>
    <w:rsid w:val="4B4855D0"/>
    <w:rsid w:val="4BFE167A"/>
    <w:rsid w:val="4C0F06F6"/>
    <w:rsid w:val="4C250CC1"/>
    <w:rsid w:val="4CD06EBC"/>
    <w:rsid w:val="4DC846EF"/>
    <w:rsid w:val="4E0440D2"/>
    <w:rsid w:val="4E3A638B"/>
    <w:rsid w:val="4E583B6E"/>
    <w:rsid w:val="4E6579C5"/>
    <w:rsid w:val="4E7E7549"/>
    <w:rsid w:val="4EBA6E2C"/>
    <w:rsid w:val="4EC23EA3"/>
    <w:rsid w:val="4F0C00C0"/>
    <w:rsid w:val="4FD1142F"/>
    <w:rsid w:val="4FFD40CA"/>
    <w:rsid w:val="5011384D"/>
    <w:rsid w:val="5043607C"/>
    <w:rsid w:val="50525AEC"/>
    <w:rsid w:val="50C71879"/>
    <w:rsid w:val="50D1537B"/>
    <w:rsid w:val="5173705B"/>
    <w:rsid w:val="52103BBA"/>
    <w:rsid w:val="526629F4"/>
    <w:rsid w:val="5282734D"/>
    <w:rsid w:val="52A16F04"/>
    <w:rsid w:val="52A921CA"/>
    <w:rsid w:val="53110290"/>
    <w:rsid w:val="535A7F5D"/>
    <w:rsid w:val="53A25B9E"/>
    <w:rsid w:val="53B06433"/>
    <w:rsid w:val="53BA0644"/>
    <w:rsid w:val="53BC6D70"/>
    <w:rsid w:val="53DB546C"/>
    <w:rsid w:val="53DF61C3"/>
    <w:rsid w:val="53E73CDB"/>
    <w:rsid w:val="5410005F"/>
    <w:rsid w:val="54351C2F"/>
    <w:rsid w:val="548C25A7"/>
    <w:rsid w:val="54C124A7"/>
    <w:rsid w:val="54D01E55"/>
    <w:rsid w:val="55135A4F"/>
    <w:rsid w:val="55732987"/>
    <w:rsid w:val="55E64556"/>
    <w:rsid w:val="568632A2"/>
    <w:rsid w:val="56AF5565"/>
    <w:rsid w:val="56CB63B9"/>
    <w:rsid w:val="576020BA"/>
    <w:rsid w:val="577C1D63"/>
    <w:rsid w:val="57B55E18"/>
    <w:rsid w:val="57C239F6"/>
    <w:rsid w:val="580616C9"/>
    <w:rsid w:val="58B65B9F"/>
    <w:rsid w:val="58CC4583"/>
    <w:rsid w:val="58DF0E53"/>
    <w:rsid w:val="5919631B"/>
    <w:rsid w:val="59AB5195"/>
    <w:rsid w:val="59DC0D2A"/>
    <w:rsid w:val="59F34662"/>
    <w:rsid w:val="59F67C05"/>
    <w:rsid w:val="5AD66ED0"/>
    <w:rsid w:val="5B1672F9"/>
    <w:rsid w:val="5B744D7F"/>
    <w:rsid w:val="5B983041"/>
    <w:rsid w:val="5C45339A"/>
    <w:rsid w:val="5C4B72DD"/>
    <w:rsid w:val="5CA94076"/>
    <w:rsid w:val="5CFE4AA8"/>
    <w:rsid w:val="5D216BA0"/>
    <w:rsid w:val="5D2A228B"/>
    <w:rsid w:val="5D441A99"/>
    <w:rsid w:val="5D866D25"/>
    <w:rsid w:val="5D953A57"/>
    <w:rsid w:val="5D953A85"/>
    <w:rsid w:val="5DB93E4F"/>
    <w:rsid w:val="5DEB5D0B"/>
    <w:rsid w:val="5E1D215B"/>
    <w:rsid w:val="5E2731E7"/>
    <w:rsid w:val="5E925A91"/>
    <w:rsid w:val="5ED758A3"/>
    <w:rsid w:val="5F1730CF"/>
    <w:rsid w:val="5F6A1876"/>
    <w:rsid w:val="5F924DBB"/>
    <w:rsid w:val="60675B7C"/>
    <w:rsid w:val="60C02413"/>
    <w:rsid w:val="613A5126"/>
    <w:rsid w:val="614474F6"/>
    <w:rsid w:val="61561C7F"/>
    <w:rsid w:val="615B6008"/>
    <w:rsid w:val="618018E4"/>
    <w:rsid w:val="61AB16E4"/>
    <w:rsid w:val="61F80AB6"/>
    <w:rsid w:val="62ED0EBA"/>
    <w:rsid w:val="62F562CB"/>
    <w:rsid w:val="6363096D"/>
    <w:rsid w:val="636B425C"/>
    <w:rsid w:val="6377703C"/>
    <w:rsid w:val="638C0A60"/>
    <w:rsid w:val="63A61C41"/>
    <w:rsid w:val="63D17040"/>
    <w:rsid w:val="643168CB"/>
    <w:rsid w:val="643B354F"/>
    <w:rsid w:val="644B5093"/>
    <w:rsid w:val="645B6F96"/>
    <w:rsid w:val="64857A76"/>
    <w:rsid w:val="64DD21AE"/>
    <w:rsid w:val="65332AB1"/>
    <w:rsid w:val="65726BBC"/>
    <w:rsid w:val="65EE0938"/>
    <w:rsid w:val="66044309"/>
    <w:rsid w:val="6611017C"/>
    <w:rsid w:val="662B5648"/>
    <w:rsid w:val="669A3C10"/>
    <w:rsid w:val="66AE4BEC"/>
    <w:rsid w:val="66EC3E99"/>
    <w:rsid w:val="67232883"/>
    <w:rsid w:val="67A20FF5"/>
    <w:rsid w:val="67CA1B3C"/>
    <w:rsid w:val="680E71A0"/>
    <w:rsid w:val="687068C7"/>
    <w:rsid w:val="68DF15FE"/>
    <w:rsid w:val="690D1EBB"/>
    <w:rsid w:val="69945AB5"/>
    <w:rsid w:val="69F8160E"/>
    <w:rsid w:val="6AA2422A"/>
    <w:rsid w:val="6ADB4A5D"/>
    <w:rsid w:val="6ADF44DC"/>
    <w:rsid w:val="6BDC6143"/>
    <w:rsid w:val="6C67553E"/>
    <w:rsid w:val="6C763CB0"/>
    <w:rsid w:val="6C784516"/>
    <w:rsid w:val="6CA65718"/>
    <w:rsid w:val="6CF10133"/>
    <w:rsid w:val="6D1B0F7A"/>
    <w:rsid w:val="6D3A3554"/>
    <w:rsid w:val="6D4C5ACE"/>
    <w:rsid w:val="6D7D517A"/>
    <w:rsid w:val="6DEC3691"/>
    <w:rsid w:val="6E1A234B"/>
    <w:rsid w:val="6E503FD0"/>
    <w:rsid w:val="6E6331A5"/>
    <w:rsid w:val="6E851FD7"/>
    <w:rsid w:val="6F544BF1"/>
    <w:rsid w:val="6FA37525"/>
    <w:rsid w:val="6FCA7FCB"/>
    <w:rsid w:val="703468C8"/>
    <w:rsid w:val="706F40F0"/>
    <w:rsid w:val="7072684E"/>
    <w:rsid w:val="708B6CE0"/>
    <w:rsid w:val="70BC7FF0"/>
    <w:rsid w:val="70C57059"/>
    <w:rsid w:val="70DF7943"/>
    <w:rsid w:val="716F3A86"/>
    <w:rsid w:val="718410E1"/>
    <w:rsid w:val="71D80807"/>
    <w:rsid w:val="71DD3036"/>
    <w:rsid w:val="725E5300"/>
    <w:rsid w:val="72844272"/>
    <w:rsid w:val="72916058"/>
    <w:rsid w:val="72CE2106"/>
    <w:rsid w:val="73596357"/>
    <w:rsid w:val="73D26226"/>
    <w:rsid w:val="73DF5133"/>
    <w:rsid w:val="74246B34"/>
    <w:rsid w:val="74A25B61"/>
    <w:rsid w:val="7566029E"/>
    <w:rsid w:val="759E6029"/>
    <w:rsid w:val="75A318B7"/>
    <w:rsid w:val="75A50DE3"/>
    <w:rsid w:val="761B11A6"/>
    <w:rsid w:val="761B3CDC"/>
    <w:rsid w:val="76620B17"/>
    <w:rsid w:val="777972AB"/>
    <w:rsid w:val="77861947"/>
    <w:rsid w:val="77CF1550"/>
    <w:rsid w:val="78107C15"/>
    <w:rsid w:val="785E726B"/>
    <w:rsid w:val="78A85B93"/>
    <w:rsid w:val="791038AD"/>
    <w:rsid w:val="791335ED"/>
    <w:rsid w:val="79E16494"/>
    <w:rsid w:val="7A4A5D44"/>
    <w:rsid w:val="7A55139A"/>
    <w:rsid w:val="7ACA0807"/>
    <w:rsid w:val="7B4C6E5F"/>
    <w:rsid w:val="7BBE56A7"/>
    <w:rsid w:val="7BEC0912"/>
    <w:rsid w:val="7C1672A9"/>
    <w:rsid w:val="7C2858AB"/>
    <w:rsid w:val="7C4314CE"/>
    <w:rsid w:val="7C736D8A"/>
    <w:rsid w:val="7CCE7DF5"/>
    <w:rsid w:val="7CFF4E5A"/>
    <w:rsid w:val="7D097F83"/>
    <w:rsid w:val="7D2C5EE0"/>
    <w:rsid w:val="7D65191D"/>
    <w:rsid w:val="7DF92487"/>
    <w:rsid w:val="7E1B478D"/>
    <w:rsid w:val="7E244DD4"/>
    <w:rsid w:val="7E92117C"/>
    <w:rsid w:val="7E993F86"/>
    <w:rsid w:val="7EDE5C5B"/>
    <w:rsid w:val="7F93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3"/>
    <w:autoRedefine/>
    <w:qFormat/>
    <w:uiPriority w:val="0"/>
    <w:pPr>
      <w:keepNext/>
      <w:keepLines/>
      <w:spacing w:line="360" w:lineRule="auto"/>
      <w:outlineLvl w:val="0"/>
    </w:pPr>
    <w:rPr>
      <w:rFonts w:ascii="Times New Roman" w:hAnsi="Times New Roman" w:eastAsia="黑体"/>
      <w:bCs/>
      <w:kern w:val="44"/>
      <w:szCs w:val="21"/>
    </w:rPr>
  </w:style>
  <w:style w:type="paragraph" w:styleId="6">
    <w:name w:val="heading 2"/>
    <w:basedOn w:val="1"/>
    <w:next w:val="1"/>
    <w:link w:val="81"/>
    <w:autoRedefine/>
    <w:qFormat/>
    <w:uiPriority w:val="0"/>
    <w:pPr>
      <w:keepNext/>
      <w:keepLines/>
      <w:spacing w:line="360" w:lineRule="auto"/>
      <w:outlineLvl w:val="1"/>
    </w:pPr>
    <w:rPr>
      <w:rFonts w:ascii="Times New Roman" w:hAnsi="Times New Roman" w:eastAsia="黑体"/>
      <w:bCs/>
      <w:szCs w:val="21"/>
    </w:rPr>
  </w:style>
  <w:style w:type="paragraph" w:styleId="7">
    <w:name w:val="heading 3"/>
    <w:basedOn w:val="1"/>
    <w:next w:val="1"/>
    <w:link w:val="113"/>
    <w:autoRedefine/>
    <w:qFormat/>
    <w:uiPriority w:val="0"/>
    <w:pPr>
      <w:keepNext/>
      <w:keepLines/>
      <w:spacing w:line="360" w:lineRule="auto"/>
      <w:outlineLvl w:val="2"/>
    </w:pPr>
    <w:rPr>
      <w:rFonts w:ascii="Times New Roman" w:hAnsi="Times New Roman" w:eastAsia="黑体"/>
      <w:bCs/>
      <w:szCs w:val="21"/>
    </w:rPr>
  </w:style>
  <w:style w:type="paragraph" w:styleId="8">
    <w:name w:val="heading 4"/>
    <w:basedOn w:val="1"/>
    <w:next w:val="1"/>
    <w:link w:val="70"/>
    <w:autoRedefine/>
    <w:qFormat/>
    <w:uiPriority w:val="0"/>
    <w:pPr>
      <w:keepNext/>
      <w:keepLines/>
      <w:tabs>
        <w:tab w:val="left" w:pos="425"/>
      </w:tabs>
      <w:spacing w:before="280" w:after="290" w:line="376" w:lineRule="auto"/>
      <w:ind w:left="425" w:hanging="425"/>
      <w:outlineLvl w:val="3"/>
    </w:pPr>
    <w:rPr>
      <w:rFonts w:ascii="Arial" w:hAnsi="Arial" w:eastAsia="黑体"/>
      <w:b/>
      <w:bCs/>
      <w:kern w:val="0"/>
      <w:sz w:val="28"/>
      <w:szCs w:val="28"/>
    </w:rPr>
  </w:style>
  <w:style w:type="paragraph" w:styleId="9">
    <w:name w:val="heading 5"/>
    <w:basedOn w:val="1"/>
    <w:next w:val="1"/>
    <w:link w:val="89"/>
    <w:autoRedefine/>
    <w:qFormat/>
    <w:uiPriority w:val="0"/>
    <w:pPr>
      <w:keepNext/>
      <w:keepLines/>
      <w:numPr>
        <w:ilvl w:val="4"/>
        <w:numId w:val="1"/>
      </w:numPr>
      <w:tabs>
        <w:tab w:val="left" w:pos="2160"/>
      </w:tabs>
      <w:spacing w:before="280" w:after="290" w:line="376" w:lineRule="auto"/>
      <w:outlineLvl w:val="4"/>
    </w:pPr>
    <w:rPr>
      <w:rFonts w:ascii="Times New Roman" w:hAnsi="Times New Roman"/>
      <w:b/>
      <w:bCs/>
      <w:sz w:val="28"/>
      <w:szCs w:val="28"/>
    </w:rPr>
  </w:style>
  <w:style w:type="paragraph" w:styleId="10">
    <w:name w:val="heading 8"/>
    <w:basedOn w:val="1"/>
    <w:next w:val="1"/>
    <w:link w:val="74"/>
    <w:autoRedefine/>
    <w:qFormat/>
    <w:uiPriority w:val="9"/>
    <w:pPr>
      <w:keepNext/>
      <w:keepLines/>
      <w:spacing w:before="240" w:after="64" w:line="320" w:lineRule="auto"/>
      <w:outlineLvl w:val="7"/>
    </w:pPr>
    <w:rPr>
      <w:rFonts w:ascii="Cambria" w:hAnsi="Cambria"/>
      <w:sz w:val="24"/>
      <w:szCs w:val="24"/>
    </w:rPr>
  </w:style>
  <w:style w:type="character" w:default="1" w:styleId="45">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
    <w:name w:val="纯文本1"/>
    <w:basedOn w:val="1"/>
    <w:autoRedefine/>
    <w:qFormat/>
    <w:uiPriority w:val="0"/>
    <w:pPr>
      <w:adjustRightInd w:val="0"/>
    </w:pPr>
    <w:rPr>
      <w:rFonts w:ascii="宋体" w:hAnsi="Courier New"/>
      <w:szCs w:val="20"/>
    </w:rPr>
  </w:style>
  <w:style w:type="paragraph" w:styleId="4">
    <w:name w:val="List 3"/>
    <w:basedOn w:val="1"/>
    <w:next w:val="1"/>
    <w:autoRedefine/>
    <w:qFormat/>
    <w:uiPriority w:val="0"/>
    <w:pPr>
      <w:tabs>
        <w:tab w:val="left" w:pos="425"/>
      </w:tabs>
      <w:spacing w:line="480" w:lineRule="exact"/>
      <w:ind w:left="100" w:leftChars="400" w:hanging="200" w:firstLineChars="200"/>
    </w:pPr>
    <w:rPr>
      <w:sz w:val="24"/>
    </w:rPr>
  </w:style>
  <w:style w:type="paragraph" w:styleId="11">
    <w:name w:val="toc 7"/>
    <w:basedOn w:val="1"/>
    <w:next w:val="1"/>
    <w:autoRedefine/>
    <w:semiHidden/>
    <w:qFormat/>
    <w:uiPriority w:val="0"/>
    <w:pPr>
      <w:ind w:left="1260"/>
      <w:jc w:val="left"/>
    </w:pPr>
    <w:rPr>
      <w:rFonts w:ascii="Times New Roman" w:hAnsi="Times New Roman"/>
      <w:sz w:val="18"/>
      <w:szCs w:val="18"/>
    </w:rPr>
  </w:style>
  <w:style w:type="paragraph" w:styleId="12">
    <w:name w:val="Note Heading"/>
    <w:basedOn w:val="1"/>
    <w:next w:val="1"/>
    <w:link w:val="96"/>
    <w:autoRedefine/>
    <w:qFormat/>
    <w:uiPriority w:val="0"/>
    <w:pPr>
      <w:jc w:val="center"/>
    </w:pPr>
  </w:style>
  <w:style w:type="paragraph" w:styleId="13">
    <w:name w:val="Normal Indent"/>
    <w:basedOn w:val="1"/>
    <w:link w:val="94"/>
    <w:autoRedefine/>
    <w:qFormat/>
    <w:uiPriority w:val="99"/>
    <w:pPr>
      <w:ind w:firstLine="200" w:firstLineChars="200"/>
    </w:pPr>
    <w:rPr>
      <w:rFonts w:ascii="Times New Roman" w:hAnsi="Times New Roman"/>
      <w:sz w:val="28"/>
      <w:szCs w:val="24"/>
    </w:rPr>
  </w:style>
  <w:style w:type="paragraph" w:styleId="14">
    <w:name w:val="caption"/>
    <w:basedOn w:val="1"/>
    <w:next w:val="1"/>
    <w:autoRedefine/>
    <w:qFormat/>
    <w:uiPriority w:val="35"/>
    <w:rPr>
      <w:rFonts w:ascii="Arial" w:hAnsi="Arial" w:eastAsia="黑体" w:cs="Arial"/>
      <w:sz w:val="20"/>
      <w:szCs w:val="20"/>
    </w:rPr>
  </w:style>
  <w:style w:type="paragraph" w:styleId="15">
    <w:name w:val="Document Map"/>
    <w:basedOn w:val="1"/>
    <w:link w:val="110"/>
    <w:autoRedefine/>
    <w:qFormat/>
    <w:uiPriority w:val="0"/>
    <w:rPr>
      <w:rFonts w:ascii="宋体" w:hAnsi="Times New Roman"/>
      <w:sz w:val="18"/>
      <w:szCs w:val="18"/>
    </w:rPr>
  </w:style>
  <w:style w:type="paragraph" w:styleId="16">
    <w:name w:val="annotation text"/>
    <w:basedOn w:val="1"/>
    <w:link w:val="68"/>
    <w:autoRedefine/>
    <w:qFormat/>
    <w:uiPriority w:val="0"/>
    <w:pPr>
      <w:jc w:val="left"/>
    </w:pPr>
    <w:rPr>
      <w:rFonts w:ascii="Times New Roman" w:hAnsi="Times New Roman"/>
      <w:szCs w:val="24"/>
    </w:rPr>
  </w:style>
  <w:style w:type="paragraph" w:styleId="17">
    <w:name w:val="Body Text 3"/>
    <w:basedOn w:val="1"/>
    <w:link w:val="76"/>
    <w:autoRedefine/>
    <w:qFormat/>
    <w:uiPriority w:val="0"/>
    <w:pPr>
      <w:spacing w:after="120"/>
    </w:pPr>
    <w:rPr>
      <w:rFonts w:ascii="Times New Roman" w:hAnsi="Times New Roman"/>
      <w:kern w:val="0"/>
      <w:sz w:val="16"/>
      <w:szCs w:val="16"/>
    </w:rPr>
  </w:style>
  <w:style w:type="paragraph" w:styleId="18">
    <w:name w:val="Body Text"/>
    <w:basedOn w:val="1"/>
    <w:link w:val="87"/>
    <w:autoRedefine/>
    <w:qFormat/>
    <w:uiPriority w:val="0"/>
    <w:pPr>
      <w:spacing w:after="120"/>
    </w:pPr>
    <w:rPr>
      <w:rFonts w:ascii="Times New Roman" w:hAnsi="Times New Roman"/>
      <w:kern w:val="0"/>
      <w:sz w:val="28"/>
      <w:szCs w:val="20"/>
    </w:rPr>
  </w:style>
  <w:style w:type="paragraph" w:styleId="19">
    <w:name w:val="Body Text Indent"/>
    <w:basedOn w:val="1"/>
    <w:link w:val="125"/>
    <w:autoRedefine/>
    <w:qFormat/>
    <w:uiPriority w:val="0"/>
    <w:pPr>
      <w:ind w:firstLine="420" w:firstLineChars="200"/>
    </w:pPr>
    <w:rPr>
      <w:rFonts w:ascii="Times New Roman" w:hAnsi="Times New Roman"/>
      <w:szCs w:val="24"/>
    </w:rPr>
  </w:style>
  <w:style w:type="paragraph" w:styleId="20">
    <w:name w:val="Block Text"/>
    <w:basedOn w:val="1"/>
    <w:next w:val="1"/>
    <w:autoRedefine/>
    <w:qFormat/>
    <w:uiPriority w:val="0"/>
    <w:pPr>
      <w:autoSpaceDE w:val="0"/>
      <w:autoSpaceDN w:val="0"/>
      <w:adjustRightInd w:val="0"/>
      <w:spacing w:before="1" w:line="537" w:lineRule="exact"/>
      <w:ind w:left="88" w:right="6"/>
    </w:pPr>
    <w:rPr>
      <w:rFonts w:ascii="Times New Roman" w:hAnsi="Times New Roman"/>
      <w:kern w:val="0"/>
      <w:sz w:val="28"/>
      <w:szCs w:val="20"/>
    </w:rPr>
  </w:style>
  <w:style w:type="paragraph" w:styleId="21">
    <w:name w:val="toc 5"/>
    <w:basedOn w:val="1"/>
    <w:next w:val="1"/>
    <w:autoRedefine/>
    <w:semiHidden/>
    <w:qFormat/>
    <w:uiPriority w:val="0"/>
    <w:pPr>
      <w:ind w:left="840"/>
      <w:jc w:val="left"/>
    </w:pPr>
    <w:rPr>
      <w:rFonts w:ascii="Times New Roman" w:hAnsi="Times New Roman"/>
      <w:sz w:val="18"/>
      <w:szCs w:val="18"/>
    </w:rPr>
  </w:style>
  <w:style w:type="paragraph" w:styleId="22">
    <w:name w:val="toc 3"/>
    <w:basedOn w:val="1"/>
    <w:next w:val="1"/>
    <w:autoRedefine/>
    <w:semiHidden/>
    <w:qFormat/>
    <w:uiPriority w:val="0"/>
    <w:pPr>
      <w:ind w:left="420"/>
      <w:jc w:val="left"/>
    </w:pPr>
    <w:rPr>
      <w:rFonts w:ascii="Times New Roman" w:hAnsi="Times New Roman"/>
      <w:i/>
      <w:iCs/>
      <w:sz w:val="20"/>
      <w:szCs w:val="20"/>
    </w:rPr>
  </w:style>
  <w:style w:type="paragraph" w:styleId="23">
    <w:name w:val="Plain Text"/>
    <w:basedOn w:val="1"/>
    <w:link w:val="75"/>
    <w:autoRedefine/>
    <w:qFormat/>
    <w:uiPriority w:val="99"/>
    <w:rPr>
      <w:rFonts w:ascii="宋体" w:hAnsi="Courier New"/>
      <w:szCs w:val="20"/>
    </w:rPr>
  </w:style>
  <w:style w:type="paragraph" w:styleId="24">
    <w:name w:val="toc 8"/>
    <w:basedOn w:val="1"/>
    <w:next w:val="1"/>
    <w:autoRedefine/>
    <w:semiHidden/>
    <w:qFormat/>
    <w:uiPriority w:val="0"/>
    <w:pPr>
      <w:ind w:left="1470"/>
      <w:jc w:val="left"/>
    </w:pPr>
    <w:rPr>
      <w:rFonts w:ascii="Times New Roman" w:hAnsi="Times New Roman"/>
      <w:sz w:val="18"/>
      <w:szCs w:val="18"/>
    </w:rPr>
  </w:style>
  <w:style w:type="paragraph" w:styleId="25">
    <w:name w:val="Date"/>
    <w:basedOn w:val="1"/>
    <w:next w:val="1"/>
    <w:link w:val="80"/>
    <w:autoRedefine/>
    <w:qFormat/>
    <w:uiPriority w:val="0"/>
    <w:pPr>
      <w:ind w:left="100" w:leftChars="2500"/>
    </w:pPr>
    <w:rPr>
      <w:rFonts w:ascii="Times New Roman" w:hAnsi="Times New Roman"/>
      <w:szCs w:val="24"/>
    </w:rPr>
  </w:style>
  <w:style w:type="paragraph" w:styleId="26">
    <w:name w:val="Body Text Indent 2"/>
    <w:basedOn w:val="1"/>
    <w:link w:val="118"/>
    <w:autoRedefine/>
    <w:unhideWhenUsed/>
    <w:qFormat/>
    <w:uiPriority w:val="99"/>
    <w:pPr>
      <w:spacing w:after="120" w:line="480" w:lineRule="auto"/>
      <w:ind w:left="420" w:leftChars="200"/>
    </w:pPr>
    <w:rPr>
      <w:kern w:val="0"/>
      <w:sz w:val="20"/>
      <w:szCs w:val="20"/>
    </w:rPr>
  </w:style>
  <w:style w:type="paragraph" w:styleId="27">
    <w:name w:val="Balloon Text"/>
    <w:basedOn w:val="1"/>
    <w:link w:val="126"/>
    <w:autoRedefine/>
    <w:qFormat/>
    <w:uiPriority w:val="0"/>
    <w:rPr>
      <w:rFonts w:ascii="Times New Roman" w:hAnsi="Times New Roman"/>
      <w:sz w:val="18"/>
      <w:szCs w:val="18"/>
    </w:rPr>
  </w:style>
  <w:style w:type="paragraph" w:styleId="28">
    <w:name w:val="footer"/>
    <w:basedOn w:val="1"/>
    <w:link w:val="84"/>
    <w:autoRedefine/>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109"/>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autoRedefine/>
    <w:qFormat/>
    <w:uiPriority w:val="0"/>
    <w:pPr>
      <w:tabs>
        <w:tab w:val="right" w:leader="dot" w:pos="8948"/>
      </w:tabs>
      <w:spacing w:before="120" w:after="120"/>
      <w:jc w:val="left"/>
    </w:pPr>
    <w:rPr>
      <w:rFonts w:ascii="Times New Roman" w:hAnsi="Times New Roman"/>
      <w:b/>
      <w:bCs/>
      <w:caps/>
      <w:sz w:val="24"/>
      <w:szCs w:val="24"/>
    </w:rPr>
  </w:style>
  <w:style w:type="paragraph" w:styleId="31">
    <w:name w:val="toc 4"/>
    <w:basedOn w:val="1"/>
    <w:next w:val="1"/>
    <w:autoRedefine/>
    <w:semiHidden/>
    <w:qFormat/>
    <w:uiPriority w:val="0"/>
    <w:pPr>
      <w:ind w:left="630"/>
      <w:jc w:val="left"/>
    </w:pPr>
    <w:rPr>
      <w:rFonts w:ascii="Times New Roman" w:hAnsi="Times New Roman"/>
      <w:sz w:val="18"/>
      <w:szCs w:val="18"/>
    </w:rPr>
  </w:style>
  <w:style w:type="paragraph" w:styleId="32">
    <w:name w:val="footnote text"/>
    <w:basedOn w:val="1"/>
    <w:link w:val="69"/>
    <w:autoRedefine/>
    <w:semiHidden/>
    <w:qFormat/>
    <w:uiPriority w:val="0"/>
    <w:pPr>
      <w:snapToGrid w:val="0"/>
      <w:jc w:val="left"/>
    </w:pPr>
    <w:rPr>
      <w:rFonts w:ascii="Times New Roman" w:hAnsi="Times New Roman"/>
      <w:sz w:val="18"/>
      <w:szCs w:val="18"/>
    </w:rPr>
  </w:style>
  <w:style w:type="paragraph" w:styleId="33">
    <w:name w:val="toc 6"/>
    <w:basedOn w:val="1"/>
    <w:next w:val="1"/>
    <w:autoRedefine/>
    <w:semiHidden/>
    <w:qFormat/>
    <w:uiPriority w:val="0"/>
    <w:pPr>
      <w:ind w:left="1050"/>
      <w:jc w:val="left"/>
    </w:pPr>
    <w:rPr>
      <w:rFonts w:ascii="Times New Roman" w:hAnsi="Times New Roman"/>
      <w:sz w:val="18"/>
      <w:szCs w:val="18"/>
    </w:rPr>
  </w:style>
  <w:style w:type="paragraph" w:styleId="34">
    <w:name w:val="Body Text Indent 3"/>
    <w:basedOn w:val="1"/>
    <w:link w:val="85"/>
    <w:autoRedefine/>
    <w:unhideWhenUsed/>
    <w:qFormat/>
    <w:uiPriority w:val="99"/>
    <w:pPr>
      <w:spacing w:after="120"/>
      <w:ind w:left="420" w:leftChars="200"/>
    </w:pPr>
    <w:rPr>
      <w:sz w:val="16"/>
      <w:szCs w:val="16"/>
    </w:rPr>
  </w:style>
  <w:style w:type="paragraph" w:styleId="35">
    <w:name w:val="toc 2"/>
    <w:basedOn w:val="1"/>
    <w:next w:val="1"/>
    <w:autoRedefine/>
    <w:qFormat/>
    <w:uiPriority w:val="0"/>
    <w:pPr>
      <w:ind w:left="210"/>
      <w:jc w:val="left"/>
    </w:pPr>
    <w:rPr>
      <w:rFonts w:ascii="Times New Roman" w:hAnsi="Times New Roman"/>
      <w:smallCaps/>
      <w:sz w:val="20"/>
      <w:szCs w:val="20"/>
    </w:rPr>
  </w:style>
  <w:style w:type="paragraph" w:styleId="36">
    <w:name w:val="toc 9"/>
    <w:basedOn w:val="1"/>
    <w:next w:val="1"/>
    <w:autoRedefine/>
    <w:semiHidden/>
    <w:qFormat/>
    <w:uiPriority w:val="0"/>
    <w:pPr>
      <w:ind w:left="1680"/>
      <w:jc w:val="left"/>
    </w:pPr>
    <w:rPr>
      <w:rFonts w:ascii="Times New Roman" w:hAnsi="Times New Roman"/>
      <w:sz w:val="18"/>
      <w:szCs w:val="18"/>
    </w:rPr>
  </w:style>
  <w:style w:type="paragraph" w:styleId="37">
    <w:name w:val="Body Text 2"/>
    <w:basedOn w:val="1"/>
    <w:link w:val="105"/>
    <w:autoRedefine/>
    <w:qFormat/>
    <w:uiPriority w:val="0"/>
    <w:pPr>
      <w:spacing w:line="360" w:lineRule="auto"/>
      <w:jc w:val="left"/>
    </w:pPr>
    <w:rPr>
      <w:rFonts w:ascii="Times New Roman" w:hAnsi="Times New Roman"/>
      <w:kern w:val="0"/>
      <w:sz w:val="24"/>
      <w:szCs w:val="20"/>
    </w:rPr>
  </w:style>
  <w:style w:type="paragraph" w:styleId="38">
    <w:name w:val="HTML Preformatted"/>
    <w:basedOn w:val="1"/>
    <w:link w:val="1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9">
    <w:name w:val="Normal (Web)"/>
    <w:basedOn w:val="1"/>
    <w:link w:val="86"/>
    <w:autoRedefine/>
    <w:qFormat/>
    <w:uiPriority w:val="0"/>
    <w:rPr>
      <w:rFonts w:ascii="Times New Roman" w:hAnsi="Times New Roman"/>
      <w:sz w:val="24"/>
      <w:szCs w:val="24"/>
    </w:rPr>
  </w:style>
  <w:style w:type="paragraph" w:styleId="40">
    <w:name w:val="annotation subject"/>
    <w:basedOn w:val="16"/>
    <w:next w:val="16"/>
    <w:link w:val="71"/>
    <w:autoRedefine/>
    <w:semiHidden/>
    <w:qFormat/>
    <w:uiPriority w:val="0"/>
    <w:rPr>
      <w:b/>
      <w:bCs/>
    </w:rPr>
  </w:style>
  <w:style w:type="paragraph" w:styleId="41">
    <w:name w:val="Body Text First Indent 2"/>
    <w:basedOn w:val="1"/>
    <w:next w:val="1"/>
    <w:autoRedefine/>
    <w:qFormat/>
    <w:uiPriority w:val="0"/>
    <w:pPr>
      <w:spacing w:after="120"/>
      <w:ind w:left="420" w:leftChars="200"/>
    </w:p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Grid 1"/>
    <w:basedOn w:val="4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6">
    <w:name w:val="Strong"/>
    <w:autoRedefine/>
    <w:qFormat/>
    <w:uiPriority w:val="0"/>
    <w:rPr>
      <w:b/>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20"/>
    <w:rPr>
      <w:i/>
      <w:iCs/>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character" w:customStyle="1" w:styleId="52">
    <w:name w:val="font01"/>
    <w:autoRedefine/>
    <w:qFormat/>
    <w:uiPriority w:val="0"/>
    <w:rPr>
      <w:rFonts w:hint="eastAsia" w:ascii="宋体" w:hAnsi="宋体" w:eastAsia="宋体" w:cs="宋体"/>
      <w:color w:val="000000"/>
      <w:sz w:val="22"/>
      <w:szCs w:val="22"/>
      <w:u w:val="none"/>
    </w:rPr>
  </w:style>
  <w:style w:type="character" w:customStyle="1" w:styleId="53">
    <w:name w:val="font11"/>
    <w:autoRedefine/>
    <w:qFormat/>
    <w:uiPriority w:val="0"/>
    <w:rPr>
      <w:rFonts w:ascii="宋体" w:hAnsi="宋体" w:eastAsia="宋体" w:cs="宋体"/>
      <w:color w:val="000000"/>
      <w:sz w:val="22"/>
      <w:szCs w:val="22"/>
      <w:u w:val="none"/>
    </w:rPr>
  </w:style>
  <w:style w:type="character" w:customStyle="1" w:styleId="54">
    <w:name w:val="标题 2 字符"/>
    <w:autoRedefine/>
    <w:qFormat/>
    <w:uiPriority w:val="9"/>
    <w:rPr>
      <w:rFonts w:ascii="Cambria" w:hAnsi="Cambria" w:eastAsia="Times New Roman"/>
      <w:b/>
      <w:bCs/>
      <w:i/>
      <w:iCs/>
      <w:sz w:val="28"/>
      <w:szCs w:val="28"/>
    </w:rPr>
  </w:style>
  <w:style w:type="character" w:customStyle="1" w:styleId="55">
    <w:name w:val="标题1"/>
    <w:basedOn w:val="45"/>
    <w:autoRedefine/>
    <w:qFormat/>
    <w:uiPriority w:val="0"/>
  </w:style>
  <w:style w:type="character" w:customStyle="1" w:styleId="56">
    <w:name w:val="表头 Char"/>
    <w:link w:val="57"/>
    <w:autoRedefine/>
    <w:qFormat/>
    <w:uiPriority w:val="0"/>
    <w:rPr>
      <w:rFonts w:eastAsia="黑体"/>
      <w:snapToGrid w:val="0"/>
      <w:szCs w:val="21"/>
      <w:lang w:bidi="ar-SA"/>
    </w:rPr>
  </w:style>
  <w:style w:type="paragraph" w:customStyle="1" w:styleId="57">
    <w:name w:val="表头"/>
    <w:basedOn w:val="1"/>
    <w:link w:val="56"/>
    <w:autoRedefine/>
    <w:qFormat/>
    <w:uiPriority w:val="0"/>
    <w:pPr>
      <w:spacing w:line="360" w:lineRule="auto"/>
      <w:jc w:val="center"/>
    </w:pPr>
    <w:rPr>
      <w:rFonts w:ascii="Times New Roman" w:hAnsi="Times New Roman" w:eastAsia="黑体"/>
      <w:snapToGrid w:val="0"/>
      <w:kern w:val="0"/>
      <w:sz w:val="20"/>
      <w:szCs w:val="21"/>
    </w:rPr>
  </w:style>
  <w:style w:type="character" w:customStyle="1" w:styleId="58">
    <w:name w:val="样式 样式 标题 3 + +1 Char"/>
    <w:link w:val="59"/>
    <w:autoRedefine/>
    <w:qFormat/>
    <w:uiPriority w:val="0"/>
    <w:rPr>
      <w:rFonts w:eastAsia="宋体"/>
      <w:b/>
      <w:bCs/>
      <w:kern w:val="2"/>
      <w:sz w:val="28"/>
      <w:szCs w:val="32"/>
      <w:lang w:val="en-US" w:eastAsia="zh-CN" w:bidi="ar-SA"/>
    </w:rPr>
  </w:style>
  <w:style w:type="paragraph" w:customStyle="1" w:styleId="59">
    <w:name w:val="样式 样式 标题 3 + +1"/>
    <w:basedOn w:val="1"/>
    <w:link w:val="58"/>
    <w:autoRedefine/>
    <w:qFormat/>
    <w:uiPriority w:val="0"/>
    <w:pPr>
      <w:keepNext/>
      <w:keepLines/>
      <w:spacing w:line="520" w:lineRule="exact"/>
      <w:outlineLvl w:val="2"/>
    </w:pPr>
    <w:rPr>
      <w:rFonts w:ascii="Times New Roman" w:hAnsi="Times New Roman"/>
      <w:b/>
      <w:bCs/>
      <w:sz w:val="28"/>
      <w:szCs w:val="32"/>
    </w:rPr>
  </w:style>
  <w:style w:type="character" w:customStyle="1" w:styleId="60">
    <w:name w:val="样式 正文 + Char"/>
    <w:link w:val="61"/>
    <w:autoRedefine/>
    <w:qFormat/>
    <w:uiPriority w:val="0"/>
    <w:rPr>
      <w:rFonts w:eastAsia="宋体"/>
      <w:snapToGrid w:val="0"/>
      <w:sz w:val="21"/>
      <w:szCs w:val="21"/>
      <w:lang w:val="en-US" w:eastAsia="zh-CN" w:bidi="ar-SA"/>
    </w:rPr>
  </w:style>
  <w:style w:type="paragraph" w:customStyle="1" w:styleId="61">
    <w:name w:val="样式 正文 +"/>
    <w:basedOn w:val="1"/>
    <w:next w:val="1"/>
    <w:link w:val="60"/>
    <w:autoRedefine/>
    <w:qFormat/>
    <w:uiPriority w:val="0"/>
    <w:pPr>
      <w:tabs>
        <w:tab w:val="left" w:pos="968"/>
        <w:tab w:val="center" w:pos="4153"/>
        <w:tab w:val="right" w:pos="8306"/>
      </w:tabs>
      <w:adjustRightInd w:val="0"/>
      <w:snapToGrid w:val="0"/>
      <w:jc w:val="center"/>
    </w:pPr>
    <w:rPr>
      <w:rFonts w:ascii="Times New Roman" w:hAnsi="Times New Roman"/>
      <w:snapToGrid w:val="0"/>
      <w:kern w:val="0"/>
      <w:szCs w:val="21"/>
    </w:rPr>
  </w:style>
  <w:style w:type="character" w:customStyle="1" w:styleId="62">
    <w:name w:val="maintext1"/>
    <w:autoRedefine/>
    <w:qFormat/>
    <w:uiPriority w:val="0"/>
    <w:rPr>
      <w:rFonts w:hint="default" w:ascii="Verdana" w:hAnsi="Verdana"/>
      <w:color w:val="000000"/>
      <w:sz w:val="14"/>
      <w:szCs w:val="14"/>
    </w:rPr>
  </w:style>
  <w:style w:type="character" w:customStyle="1" w:styleId="63">
    <w:name w:val="标题 1 Char"/>
    <w:link w:val="5"/>
    <w:autoRedefine/>
    <w:qFormat/>
    <w:uiPriority w:val="0"/>
    <w:rPr>
      <w:rFonts w:eastAsia="黑体"/>
      <w:bCs/>
      <w:kern w:val="44"/>
      <w:sz w:val="21"/>
      <w:szCs w:val="21"/>
      <w:lang w:val="en-US" w:eastAsia="zh-CN" w:bidi="ar-SA"/>
    </w:rPr>
  </w:style>
  <w:style w:type="character" w:customStyle="1" w:styleId="64">
    <w:name w:val="样式 小四 行距: 固定值 24 磅 Char Char"/>
    <w:link w:val="65"/>
    <w:autoRedefine/>
    <w:qFormat/>
    <w:uiPriority w:val="0"/>
    <w:rPr>
      <w:rFonts w:eastAsia="宋体" w:cs="宋体"/>
      <w:kern w:val="2"/>
      <w:sz w:val="24"/>
      <w:lang w:val="en-US" w:eastAsia="zh-CN" w:bidi="ar-SA"/>
    </w:rPr>
  </w:style>
  <w:style w:type="paragraph" w:customStyle="1" w:styleId="65">
    <w:name w:val="样式 小四 行距: 固定值 24 磅"/>
    <w:basedOn w:val="1"/>
    <w:link w:val="64"/>
    <w:autoRedefine/>
    <w:qFormat/>
    <w:uiPriority w:val="0"/>
    <w:pPr>
      <w:adjustRightInd w:val="0"/>
      <w:snapToGrid w:val="0"/>
      <w:spacing w:line="360" w:lineRule="auto"/>
      <w:ind w:firstLine="200" w:firstLineChars="200"/>
    </w:pPr>
    <w:rPr>
      <w:rFonts w:ascii="Times New Roman" w:hAnsi="Times New Roman" w:cs="宋体"/>
      <w:sz w:val="24"/>
      <w:szCs w:val="20"/>
    </w:rPr>
  </w:style>
  <w:style w:type="character" w:customStyle="1" w:styleId="66">
    <w:name w:val="表格 Char"/>
    <w:link w:val="67"/>
    <w:autoRedefine/>
    <w:qFormat/>
    <w:uiPriority w:val="0"/>
    <w:rPr>
      <w:rFonts w:eastAsia="黑体"/>
      <w:kern w:val="2"/>
      <w:sz w:val="24"/>
      <w:lang w:val="en-US" w:eastAsia="zh-CN" w:bidi="ar-SA"/>
    </w:rPr>
  </w:style>
  <w:style w:type="paragraph" w:customStyle="1" w:styleId="67">
    <w:name w:val="表格"/>
    <w:basedOn w:val="1"/>
    <w:link w:val="66"/>
    <w:autoRedefine/>
    <w:qFormat/>
    <w:uiPriority w:val="0"/>
    <w:pPr>
      <w:adjustRightInd w:val="0"/>
      <w:snapToGrid w:val="0"/>
      <w:spacing w:line="400" w:lineRule="exact"/>
      <w:jc w:val="center"/>
    </w:pPr>
    <w:rPr>
      <w:rFonts w:ascii="Times New Roman" w:hAnsi="Times New Roman" w:eastAsia="黑体"/>
      <w:sz w:val="24"/>
      <w:szCs w:val="20"/>
    </w:rPr>
  </w:style>
  <w:style w:type="character" w:customStyle="1" w:styleId="68">
    <w:name w:val="批注文字 Char"/>
    <w:link w:val="16"/>
    <w:autoRedefine/>
    <w:qFormat/>
    <w:uiPriority w:val="0"/>
    <w:rPr>
      <w:rFonts w:eastAsia="宋体"/>
      <w:kern w:val="2"/>
      <w:sz w:val="21"/>
      <w:szCs w:val="24"/>
      <w:lang w:val="en-US" w:eastAsia="zh-CN" w:bidi="ar-SA"/>
    </w:rPr>
  </w:style>
  <w:style w:type="character" w:customStyle="1" w:styleId="69">
    <w:name w:val="脚注文本 Char"/>
    <w:link w:val="32"/>
    <w:autoRedefine/>
    <w:semiHidden/>
    <w:qFormat/>
    <w:uiPriority w:val="0"/>
    <w:rPr>
      <w:rFonts w:eastAsia="宋体"/>
      <w:kern w:val="2"/>
      <w:sz w:val="18"/>
      <w:szCs w:val="18"/>
      <w:lang w:val="en-US" w:eastAsia="zh-CN" w:bidi="ar-SA"/>
    </w:rPr>
  </w:style>
  <w:style w:type="character" w:customStyle="1" w:styleId="70">
    <w:name w:val="标题 4 Char"/>
    <w:link w:val="8"/>
    <w:autoRedefine/>
    <w:qFormat/>
    <w:uiPriority w:val="0"/>
    <w:rPr>
      <w:rFonts w:ascii="Arial" w:hAnsi="Arial" w:eastAsia="黑体"/>
      <w:b/>
      <w:bCs/>
      <w:sz w:val="28"/>
      <w:szCs w:val="28"/>
    </w:rPr>
  </w:style>
  <w:style w:type="character" w:customStyle="1" w:styleId="71">
    <w:name w:val="批注主题 Char"/>
    <w:link w:val="40"/>
    <w:autoRedefine/>
    <w:semiHidden/>
    <w:qFormat/>
    <w:uiPriority w:val="0"/>
    <w:rPr>
      <w:rFonts w:eastAsia="宋体"/>
      <w:b/>
      <w:bCs/>
      <w:kern w:val="2"/>
      <w:sz w:val="21"/>
      <w:szCs w:val="24"/>
      <w:lang w:val="en-US" w:eastAsia="zh-CN" w:bidi="ar-SA"/>
    </w:rPr>
  </w:style>
  <w:style w:type="character" w:customStyle="1" w:styleId="72">
    <w:name w:val="正文文本 3 Char1"/>
    <w:autoRedefine/>
    <w:qFormat/>
    <w:uiPriority w:val="0"/>
    <w:rPr>
      <w:rFonts w:ascii="Calibri" w:hAnsi="Calibri"/>
      <w:kern w:val="2"/>
      <w:sz w:val="16"/>
      <w:szCs w:val="16"/>
    </w:rPr>
  </w:style>
  <w:style w:type="character" w:customStyle="1" w:styleId="73">
    <w:name w:val="页脚 字符"/>
    <w:autoRedefine/>
    <w:qFormat/>
    <w:uiPriority w:val="99"/>
  </w:style>
  <w:style w:type="character" w:customStyle="1" w:styleId="74">
    <w:name w:val="标题 8 Char"/>
    <w:link w:val="10"/>
    <w:autoRedefine/>
    <w:qFormat/>
    <w:uiPriority w:val="9"/>
    <w:rPr>
      <w:rFonts w:ascii="Cambria" w:hAnsi="Cambria"/>
      <w:kern w:val="2"/>
      <w:sz w:val="24"/>
      <w:szCs w:val="24"/>
    </w:rPr>
  </w:style>
  <w:style w:type="character" w:customStyle="1" w:styleId="75">
    <w:name w:val="纯文本 Char"/>
    <w:link w:val="23"/>
    <w:autoRedefine/>
    <w:qFormat/>
    <w:uiPriority w:val="99"/>
    <w:rPr>
      <w:rFonts w:ascii="宋体" w:hAnsi="Courier New" w:eastAsia="宋体"/>
      <w:kern w:val="2"/>
      <w:sz w:val="21"/>
      <w:lang w:val="en-US" w:eastAsia="zh-CN" w:bidi="ar-SA"/>
    </w:rPr>
  </w:style>
  <w:style w:type="character" w:customStyle="1" w:styleId="76">
    <w:name w:val="正文文本 3 Char"/>
    <w:link w:val="17"/>
    <w:autoRedefine/>
    <w:qFormat/>
    <w:uiPriority w:val="0"/>
    <w:rPr>
      <w:sz w:val="16"/>
      <w:szCs w:val="16"/>
    </w:rPr>
  </w:style>
  <w:style w:type="character" w:customStyle="1" w:styleId="77">
    <w:name w:val="fontstyle01"/>
    <w:autoRedefine/>
    <w:qFormat/>
    <w:uiPriority w:val="0"/>
    <w:rPr>
      <w:rFonts w:hint="eastAsia" w:ascii="宋体" w:hAnsi="宋体" w:eastAsia="宋体"/>
      <w:color w:val="000000"/>
      <w:sz w:val="24"/>
      <w:szCs w:val="24"/>
    </w:rPr>
  </w:style>
  <w:style w:type="character" w:customStyle="1" w:styleId="78">
    <w:name w:val="正文（赵芳） Char"/>
    <w:link w:val="79"/>
    <w:autoRedefine/>
    <w:qFormat/>
    <w:uiPriority w:val="0"/>
    <w:rPr>
      <w:rFonts w:eastAsia="宋体"/>
      <w:szCs w:val="24"/>
      <w:lang w:bidi="ar-SA"/>
    </w:rPr>
  </w:style>
  <w:style w:type="paragraph" w:customStyle="1" w:styleId="79">
    <w:name w:val="正文（赵芳）"/>
    <w:basedOn w:val="1"/>
    <w:link w:val="78"/>
    <w:autoRedefine/>
    <w:qFormat/>
    <w:uiPriority w:val="0"/>
    <w:pPr>
      <w:spacing w:line="360" w:lineRule="auto"/>
      <w:ind w:firstLine="420" w:firstLineChars="200"/>
    </w:pPr>
    <w:rPr>
      <w:rFonts w:ascii="Times New Roman" w:hAnsi="Times New Roman"/>
      <w:kern w:val="0"/>
      <w:sz w:val="20"/>
      <w:szCs w:val="24"/>
    </w:rPr>
  </w:style>
  <w:style w:type="character" w:customStyle="1" w:styleId="80">
    <w:name w:val="日期 Char"/>
    <w:link w:val="25"/>
    <w:autoRedefine/>
    <w:qFormat/>
    <w:uiPriority w:val="0"/>
    <w:rPr>
      <w:rFonts w:eastAsia="宋体"/>
      <w:kern w:val="2"/>
      <w:sz w:val="21"/>
      <w:szCs w:val="24"/>
      <w:lang w:val="en-US" w:eastAsia="zh-CN" w:bidi="ar-SA"/>
    </w:rPr>
  </w:style>
  <w:style w:type="character" w:customStyle="1" w:styleId="81">
    <w:name w:val="标题 2 Char"/>
    <w:link w:val="6"/>
    <w:autoRedefine/>
    <w:qFormat/>
    <w:uiPriority w:val="0"/>
    <w:rPr>
      <w:rFonts w:eastAsia="黑体"/>
      <w:bCs/>
      <w:kern w:val="2"/>
      <w:sz w:val="21"/>
      <w:szCs w:val="21"/>
      <w:lang w:val="en-US" w:eastAsia="zh-CN" w:bidi="ar-SA"/>
    </w:rPr>
  </w:style>
  <w:style w:type="character" w:customStyle="1" w:styleId="82">
    <w:name w:val="表题注 Char"/>
    <w:link w:val="83"/>
    <w:autoRedefine/>
    <w:qFormat/>
    <w:uiPriority w:val="0"/>
    <w:rPr>
      <w:rFonts w:ascii="Arial" w:hAnsi="Arial" w:eastAsia="黑体"/>
      <w:sz w:val="24"/>
    </w:rPr>
  </w:style>
  <w:style w:type="paragraph" w:customStyle="1" w:styleId="83">
    <w:name w:val="表题注"/>
    <w:basedOn w:val="14"/>
    <w:link w:val="82"/>
    <w:autoRedefine/>
    <w:qFormat/>
    <w:uiPriority w:val="0"/>
    <w:pPr>
      <w:keepNext/>
      <w:spacing w:beforeLines="50" w:line="520" w:lineRule="exact"/>
      <w:jc w:val="center"/>
    </w:pPr>
    <w:rPr>
      <w:rFonts w:cs="Times New Roman"/>
      <w:kern w:val="0"/>
      <w:sz w:val="24"/>
    </w:rPr>
  </w:style>
  <w:style w:type="character" w:customStyle="1" w:styleId="84">
    <w:name w:val="页脚 Char"/>
    <w:link w:val="28"/>
    <w:autoRedefine/>
    <w:qFormat/>
    <w:uiPriority w:val="0"/>
    <w:rPr>
      <w:rFonts w:eastAsia="宋体"/>
      <w:kern w:val="2"/>
      <w:sz w:val="18"/>
      <w:szCs w:val="18"/>
      <w:lang w:val="en-US" w:eastAsia="zh-CN" w:bidi="ar-SA"/>
    </w:rPr>
  </w:style>
  <w:style w:type="character" w:customStyle="1" w:styleId="85">
    <w:name w:val="正文文本缩进 3 Char"/>
    <w:link w:val="34"/>
    <w:autoRedefine/>
    <w:qFormat/>
    <w:uiPriority w:val="99"/>
    <w:rPr>
      <w:rFonts w:ascii="Calibri" w:hAnsi="Calibri"/>
      <w:kern w:val="2"/>
      <w:sz w:val="16"/>
      <w:szCs w:val="16"/>
    </w:rPr>
  </w:style>
  <w:style w:type="character" w:customStyle="1" w:styleId="86">
    <w:name w:val="普通(网站) Char"/>
    <w:link w:val="39"/>
    <w:autoRedefine/>
    <w:qFormat/>
    <w:uiPriority w:val="0"/>
    <w:rPr>
      <w:kern w:val="2"/>
      <w:sz w:val="24"/>
      <w:szCs w:val="24"/>
    </w:rPr>
  </w:style>
  <w:style w:type="character" w:customStyle="1" w:styleId="87">
    <w:name w:val="正文文本 Char"/>
    <w:link w:val="18"/>
    <w:autoRedefine/>
    <w:qFormat/>
    <w:uiPriority w:val="0"/>
    <w:rPr>
      <w:sz w:val="28"/>
    </w:rPr>
  </w:style>
  <w:style w:type="character" w:customStyle="1" w:styleId="88">
    <w:name w:val="批注框文本 字符"/>
    <w:autoRedefine/>
    <w:qFormat/>
    <w:uiPriority w:val="99"/>
    <w:rPr>
      <w:rFonts w:ascii="Tahoma" w:hAnsi="Tahoma" w:cs="Tahoma"/>
      <w:sz w:val="16"/>
      <w:szCs w:val="16"/>
    </w:rPr>
  </w:style>
  <w:style w:type="character" w:customStyle="1" w:styleId="89">
    <w:name w:val="标题 5 Char"/>
    <w:link w:val="9"/>
    <w:autoRedefine/>
    <w:qFormat/>
    <w:uiPriority w:val="0"/>
    <w:rPr>
      <w:b/>
      <w:bCs/>
      <w:kern w:val="2"/>
      <w:sz w:val="28"/>
      <w:szCs w:val="28"/>
    </w:rPr>
  </w:style>
  <w:style w:type="character" w:customStyle="1" w:styleId="90">
    <w:name w:val="报告正文 Char"/>
    <w:link w:val="91"/>
    <w:autoRedefine/>
    <w:qFormat/>
    <w:uiPriority w:val="0"/>
    <w:rPr>
      <w:color w:val="000000"/>
      <w:kern w:val="2"/>
      <w:sz w:val="24"/>
      <w:szCs w:val="24"/>
    </w:rPr>
  </w:style>
  <w:style w:type="paragraph" w:customStyle="1" w:styleId="91">
    <w:name w:val="报告正文"/>
    <w:basedOn w:val="1"/>
    <w:link w:val="90"/>
    <w:autoRedefine/>
    <w:qFormat/>
    <w:uiPriority w:val="0"/>
    <w:pPr>
      <w:spacing w:line="520" w:lineRule="exact"/>
      <w:ind w:firstLine="200" w:firstLineChars="200"/>
    </w:pPr>
    <w:rPr>
      <w:rFonts w:ascii="Times New Roman" w:hAnsi="Times New Roman"/>
      <w:color w:val="000000"/>
      <w:sz w:val="24"/>
      <w:szCs w:val="24"/>
    </w:rPr>
  </w:style>
  <w:style w:type="character" w:customStyle="1" w:styleId="92">
    <w:name w:val="fontstyle21"/>
    <w:qFormat/>
    <w:uiPriority w:val="0"/>
    <w:rPr>
      <w:rFonts w:hint="default" w:ascii="Times New Roman" w:hAnsi="Times New Roman" w:cs="Times New Roman"/>
      <w:color w:val="000000"/>
      <w:sz w:val="24"/>
      <w:szCs w:val="24"/>
    </w:rPr>
  </w:style>
  <w:style w:type="character" w:customStyle="1" w:styleId="93">
    <w:name w:val="font41"/>
    <w:autoRedefine/>
    <w:qFormat/>
    <w:uiPriority w:val="0"/>
    <w:rPr>
      <w:rFonts w:hint="eastAsia" w:ascii="宋体" w:hAnsi="宋体" w:eastAsia="宋体" w:cs="宋体"/>
      <w:color w:val="000000"/>
      <w:sz w:val="18"/>
      <w:szCs w:val="18"/>
      <w:u w:val="none"/>
    </w:rPr>
  </w:style>
  <w:style w:type="character" w:customStyle="1" w:styleId="94">
    <w:name w:val="正文缩进 Char"/>
    <w:link w:val="13"/>
    <w:qFormat/>
    <w:uiPriority w:val="0"/>
    <w:rPr>
      <w:kern w:val="2"/>
      <w:sz w:val="28"/>
      <w:szCs w:val="24"/>
    </w:rPr>
  </w:style>
  <w:style w:type="character" w:customStyle="1" w:styleId="95">
    <w:name w:val="标题 3 字符"/>
    <w:autoRedefine/>
    <w:qFormat/>
    <w:uiPriority w:val="9"/>
    <w:rPr>
      <w:rFonts w:ascii="Cambria" w:hAnsi="Cambria" w:eastAsia="Times New Roman"/>
      <w:b/>
      <w:bCs/>
      <w:sz w:val="26"/>
      <w:szCs w:val="26"/>
    </w:rPr>
  </w:style>
  <w:style w:type="character" w:customStyle="1" w:styleId="96">
    <w:name w:val="注释标题 Char"/>
    <w:link w:val="12"/>
    <w:qFormat/>
    <w:uiPriority w:val="0"/>
  </w:style>
  <w:style w:type="character" w:customStyle="1" w:styleId="97">
    <w:name w:val="报告表正文 Char"/>
    <w:link w:val="98"/>
    <w:autoRedefine/>
    <w:qFormat/>
    <w:uiPriority w:val="99"/>
    <w:rPr>
      <w:sz w:val="24"/>
    </w:rPr>
  </w:style>
  <w:style w:type="paragraph" w:customStyle="1" w:styleId="98">
    <w:name w:val="报告表正文"/>
    <w:basedOn w:val="1"/>
    <w:link w:val="97"/>
    <w:autoRedefine/>
    <w:qFormat/>
    <w:uiPriority w:val="99"/>
    <w:pPr>
      <w:adjustRightInd w:val="0"/>
      <w:spacing w:line="312" w:lineRule="auto"/>
      <w:ind w:left="113" w:right="113" w:firstLine="482"/>
      <w:jc w:val="left"/>
      <w:textAlignment w:val="baseline"/>
    </w:pPr>
    <w:rPr>
      <w:rFonts w:ascii="Times New Roman" w:hAnsi="Times New Roman"/>
      <w:kern w:val="0"/>
      <w:sz w:val="24"/>
      <w:szCs w:val="20"/>
    </w:rPr>
  </w:style>
  <w:style w:type="character" w:customStyle="1" w:styleId="99">
    <w:name w:val="标题格式 Char"/>
    <w:link w:val="100"/>
    <w:autoRedefine/>
    <w:qFormat/>
    <w:uiPriority w:val="0"/>
    <w:rPr>
      <w:rFonts w:eastAsia="黑体"/>
      <w:kern w:val="2"/>
      <w:sz w:val="24"/>
      <w:szCs w:val="21"/>
      <w:lang w:val="en-US" w:eastAsia="zh-CN" w:bidi="ar-SA"/>
    </w:rPr>
  </w:style>
  <w:style w:type="paragraph" w:customStyle="1" w:styleId="100">
    <w:name w:val="标题格式"/>
    <w:basedOn w:val="1"/>
    <w:link w:val="99"/>
    <w:autoRedefine/>
    <w:qFormat/>
    <w:uiPriority w:val="0"/>
    <w:pPr>
      <w:spacing w:line="520" w:lineRule="exact"/>
      <w:ind w:firstLine="200" w:firstLineChars="200"/>
    </w:pPr>
    <w:rPr>
      <w:rFonts w:ascii="Times New Roman" w:hAnsi="Times New Roman" w:eastAsia="黑体"/>
      <w:sz w:val="24"/>
      <w:szCs w:val="21"/>
    </w:rPr>
  </w:style>
  <w:style w:type="character" w:customStyle="1" w:styleId="101">
    <w:name w:val="HTML 预设格式 Char"/>
    <w:link w:val="38"/>
    <w:qFormat/>
    <w:uiPriority w:val="0"/>
    <w:rPr>
      <w:rFonts w:ascii="Arial" w:hAnsi="Arial"/>
      <w:sz w:val="24"/>
      <w:szCs w:val="24"/>
    </w:rPr>
  </w:style>
  <w:style w:type="character" w:customStyle="1" w:styleId="102">
    <w:name w:val="普通文字 Char1"/>
    <w:autoRedefine/>
    <w:qFormat/>
    <w:uiPriority w:val="0"/>
    <w:rPr>
      <w:rFonts w:ascii="宋体" w:hAnsi="Lucida Console" w:eastAsia="宋体"/>
      <w:kern w:val="2"/>
      <w:sz w:val="21"/>
      <w:lang w:val="en-US" w:eastAsia="zh-CN" w:bidi="ar-SA"/>
    </w:rPr>
  </w:style>
  <w:style w:type="character" w:customStyle="1" w:styleId="103">
    <w:name w:val="表格正文 Char"/>
    <w:link w:val="104"/>
    <w:qFormat/>
    <w:uiPriority w:val="0"/>
    <w:rPr>
      <w:rFonts w:ascii="Arial" w:hAnsi="Arial" w:eastAsia="宋体"/>
      <w:kern w:val="2"/>
      <w:sz w:val="21"/>
      <w:szCs w:val="24"/>
      <w:lang w:val="en-US" w:eastAsia="zh-CN" w:bidi="ar-SA"/>
    </w:rPr>
  </w:style>
  <w:style w:type="paragraph" w:customStyle="1" w:styleId="104">
    <w:name w:val="表格正文"/>
    <w:basedOn w:val="1"/>
    <w:link w:val="103"/>
    <w:autoRedefine/>
    <w:qFormat/>
    <w:uiPriority w:val="0"/>
    <w:pPr>
      <w:spacing w:line="360" w:lineRule="exact"/>
      <w:jc w:val="center"/>
    </w:pPr>
    <w:rPr>
      <w:rFonts w:ascii="Arial" w:hAnsi="Arial"/>
      <w:szCs w:val="24"/>
    </w:rPr>
  </w:style>
  <w:style w:type="character" w:customStyle="1" w:styleId="105">
    <w:name w:val="正文文本 2 Char"/>
    <w:link w:val="37"/>
    <w:autoRedefine/>
    <w:qFormat/>
    <w:uiPriority w:val="0"/>
    <w:rPr>
      <w:sz w:val="24"/>
    </w:rPr>
  </w:style>
  <w:style w:type="character" w:customStyle="1" w:styleId="106">
    <w:name w:val="页眉 字符"/>
    <w:autoRedefine/>
    <w:qFormat/>
    <w:uiPriority w:val="99"/>
  </w:style>
  <w:style w:type="character" w:customStyle="1" w:styleId="107">
    <w:name w:val="样式 正文（核查） + 宋体 Char"/>
    <w:link w:val="108"/>
    <w:autoRedefine/>
    <w:qFormat/>
    <w:uiPriority w:val="0"/>
    <w:rPr>
      <w:rFonts w:ascii="宋体" w:hAnsi="宋体" w:eastAsia="宋体"/>
      <w:szCs w:val="24"/>
      <w:lang w:bidi="ar-SA"/>
    </w:rPr>
  </w:style>
  <w:style w:type="paragraph" w:customStyle="1" w:styleId="108">
    <w:name w:val="样式 正文（核查） + 宋体"/>
    <w:basedOn w:val="79"/>
    <w:link w:val="107"/>
    <w:qFormat/>
    <w:uiPriority w:val="0"/>
    <w:rPr>
      <w:rFonts w:ascii="宋体" w:hAnsi="宋体"/>
    </w:rPr>
  </w:style>
  <w:style w:type="character" w:customStyle="1" w:styleId="109">
    <w:name w:val="页眉 Char"/>
    <w:link w:val="29"/>
    <w:autoRedefine/>
    <w:qFormat/>
    <w:uiPriority w:val="99"/>
    <w:rPr>
      <w:rFonts w:eastAsia="宋体"/>
      <w:kern w:val="2"/>
      <w:sz w:val="18"/>
      <w:szCs w:val="18"/>
      <w:lang w:val="en-US" w:eastAsia="zh-CN" w:bidi="ar-SA"/>
    </w:rPr>
  </w:style>
  <w:style w:type="character" w:customStyle="1" w:styleId="110">
    <w:name w:val="文档结构图 Char"/>
    <w:link w:val="15"/>
    <w:qFormat/>
    <w:uiPriority w:val="0"/>
    <w:rPr>
      <w:rFonts w:ascii="宋体" w:eastAsia="宋体"/>
      <w:kern w:val="2"/>
      <w:sz w:val="18"/>
      <w:szCs w:val="18"/>
      <w:lang w:val="en-US" w:eastAsia="zh-CN" w:bidi="ar-SA"/>
    </w:rPr>
  </w:style>
  <w:style w:type="character" w:customStyle="1" w:styleId="111">
    <w:name w:val="black000"/>
    <w:basedOn w:val="45"/>
    <w:qFormat/>
    <w:uiPriority w:val="0"/>
  </w:style>
  <w:style w:type="character" w:customStyle="1" w:styleId="112">
    <w:name w:val="注释标题 Char1"/>
    <w:qFormat/>
    <w:uiPriority w:val="0"/>
    <w:rPr>
      <w:rFonts w:ascii="Calibri" w:hAnsi="Calibri"/>
      <w:kern w:val="2"/>
      <w:sz w:val="21"/>
      <w:szCs w:val="22"/>
    </w:rPr>
  </w:style>
  <w:style w:type="character" w:customStyle="1" w:styleId="113">
    <w:name w:val="标题 3 Char"/>
    <w:link w:val="7"/>
    <w:qFormat/>
    <w:uiPriority w:val="0"/>
    <w:rPr>
      <w:rFonts w:eastAsia="黑体"/>
      <w:bCs/>
      <w:kern w:val="2"/>
      <w:sz w:val="21"/>
      <w:szCs w:val="21"/>
      <w:lang w:val="en-US" w:eastAsia="zh-CN" w:bidi="ar-SA"/>
    </w:rPr>
  </w:style>
  <w:style w:type="character" w:customStyle="1" w:styleId="114">
    <w:name w:val="font21"/>
    <w:qFormat/>
    <w:uiPriority w:val="0"/>
    <w:rPr>
      <w:rFonts w:hint="eastAsia" w:ascii="宋体" w:hAnsi="宋体" w:eastAsia="宋体" w:cs="宋体"/>
      <w:color w:val="000000"/>
      <w:sz w:val="18"/>
      <w:szCs w:val="18"/>
      <w:u w:val="none"/>
    </w:rPr>
  </w:style>
  <w:style w:type="character" w:customStyle="1" w:styleId="115">
    <w:name w:val="标题 4 字符"/>
    <w:autoRedefine/>
    <w:qFormat/>
    <w:uiPriority w:val="0"/>
    <w:rPr>
      <w:rFonts w:ascii="Arial" w:hAnsi="Arial" w:eastAsia="Times New Roman"/>
      <w:b/>
      <w:u w:val="single"/>
      <w:lang w:val="en-GB"/>
    </w:rPr>
  </w:style>
  <w:style w:type="character" w:customStyle="1" w:styleId="116">
    <w:name w:val="正文01 Char"/>
    <w:link w:val="117"/>
    <w:autoRedefine/>
    <w:qFormat/>
    <w:locked/>
    <w:uiPriority w:val="0"/>
    <w:rPr>
      <w:sz w:val="24"/>
    </w:rPr>
  </w:style>
  <w:style w:type="paragraph" w:customStyle="1" w:styleId="117">
    <w:name w:val="正文01"/>
    <w:basedOn w:val="1"/>
    <w:link w:val="116"/>
    <w:autoRedefine/>
    <w:qFormat/>
    <w:uiPriority w:val="0"/>
    <w:pPr>
      <w:spacing w:before="60" w:line="460" w:lineRule="exact"/>
      <w:ind w:firstLine="200" w:firstLineChars="200"/>
    </w:pPr>
    <w:rPr>
      <w:rFonts w:ascii="Times New Roman" w:hAnsi="Times New Roman"/>
      <w:kern w:val="0"/>
      <w:sz w:val="24"/>
      <w:szCs w:val="20"/>
    </w:rPr>
  </w:style>
  <w:style w:type="character" w:customStyle="1" w:styleId="118">
    <w:name w:val="正文文本缩进 2 Char"/>
    <w:link w:val="26"/>
    <w:qFormat/>
    <w:uiPriority w:val="99"/>
    <w:rPr>
      <w:rFonts w:ascii="Calibri" w:hAnsi="Calibri"/>
    </w:rPr>
  </w:style>
  <w:style w:type="character" w:customStyle="1" w:styleId="119">
    <w:name w:val="正文1 Char"/>
    <w:link w:val="120"/>
    <w:autoRedefine/>
    <w:qFormat/>
    <w:uiPriority w:val="0"/>
    <w:rPr>
      <w:rFonts w:ascii="宋体" w:hAnsi="宋体" w:cs="宋体"/>
      <w:kern w:val="2"/>
      <w:sz w:val="28"/>
    </w:rPr>
  </w:style>
  <w:style w:type="paragraph" w:customStyle="1" w:styleId="120">
    <w:name w:val="正文1"/>
    <w:basedOn w:val="1"/>
    <w:link w:val="119"/>
    <w:autoRedefine/>
    <w:qFormat/>
    <w:uiPriority w:val="0"/>
    <w:pPr>
      <w:adjustRightInd w:val="0"/>
      <w:snapToGrid w:val="0"/>
      <w:spacing w:line="300" w:lineRule="auto"/>
      <w:ind w:firstLine="560" w:firstLineChars="200"/>
      <w:jc w:val="left"/>
    </w:pPr>
    <w:rPr>
      <w:rFonts w:ascii="宋体" w:hAnsi="宋体"/>
      <w:sz w:val="28"/>
      <w:szCs w:val="20"/>
    </w:rPr>
  </w:style>
  <w:style w:type="character" w:customStyle="1" w:styleId="121">
    <w:name w:val="标题 1 字符"/>
    <w:autoRedefine/>
    <w:qFormat/>
    <w:uiPriority w:val="9"/>
    <w:rPr>
      <w:rFonts w:ascii="Cambria" w:hAnsi="Cambria" w:eastAsia="Times New Roman"/>
      <w:b/>
      <w:bCs/>
      <w:kern w:val="32"/>
      <w:sz w:val="32"/>
      <w:szCs w:val="32"/>
    </w:rPr>
  </w:style>
  <w:style w:type="character" w:customStyle="1" w:styleId="122">
    <w:name w:val="表内文字 Char"/>
    <w:autoRedefine/>
    <w:qFormat/>
    <w:uiPriority w:val="0"/>
    <w:rPr>
      <w:rFonts w:ascii="宋体" w:hAnsi="Courier New" w:eastAsia="宋体" w:cs="Courier New"/>
      <w:kern w:val="2"/>
      <w:sz w:val="21"/>
      <w:szCs w:val="21"/>
      <w:lang w:val="en-US" w:eastAsia="zh-CN" w:bidi="ar-SA"/>
    </w:rPr>
  </w:style>
  <w:style w:type="character" w:customStyle="1" w:styleId="123">
    <w:name w:val="表格字体 Char"/>
    <w:link w:val="124"/>
    <w:autoRedefine/>
    <w:qFormat/>
    <w:uiPriority w:val="0"/>
    <w:rPr>
      <w:color w:val="000000"/>
      <w:szCs w:val="24"/>
    </w:rPr>
  </w:style>
  <w:style w:type="paragraph" w:customStyle="1" w:styleId="124">
    <w:name w:val="表格字体"/>
    <w:basedOn w:val="1"/>
    <w:link w:val="123"/>
    <w:autoRedefine/>
    <w:qFormat/>
    <w:uiPriority w:val="0"/>
    <w:pPr>
      <w:adjustRightInd w:val="0"/>
      <w:spacing w:line="300" w:lineRule="exact"/>
      <w:jc w:val="center"/>
    </w:pPr>
    <w:rPr>
      <w:rFonts w:ascii="Times New Roman" w:hAnsi="Times New Roman"/>
      <w:color w:val="000000"/>
      <w:kern w:val="0"/>
      <w:sz w:val="20"/>
      <w:szCs w:val="24"/>
    </w:rPr>
  </w:style>
  <w:style w:type="character" w:customStyle="1" w:styleId="125">
    <w:name w:val="正文文本缩进 Char"/>
    <w:link w:val="19"/>
    <w:autoRedefine/>
    <w:qFormat/>
    <w:uiPriority w:val="0"/>
    <w:rPr>
      <w:rFonts w:eastAsia="宋体"/>
      <w:kern w:val="2"/>
      <w:sz w:val="21"/>
      <w:szCs w:val="24"/>
      <w:lang w:val="en-US" w:eastAsia="zh-CN" w:bidi="ar-SA"/>
    </w:rPr>
  </w:style>
  <w:style w:type="character" w:customStyle="1" w:styleId="126">
    <w:name w:val="批注框文本 Char"/>
    <w:link w:val="27"/>
    <w:autoRedefine/>
    <w:semiHidden/>
    <w:qFormat/>
    <w:uiPriority w:val="0"/>
    <w:rPr>
      <w:rFonts w:eastAsia="宋体"/>
      <w:kern w:val="2"/>
      <w:sz w:val="18"/>
      <w:szCs w:val="18"/>
      <w:lang w:val="en-US" w:eastAsia="zh-CN" w:bidi="ar-SA"/>
    </w:rPr>
  </w:style>
  <w:style w:type="character" w:customStyle="1" w:styleId="127">
    <w:name w:val="表体 Char"/>
    <w:link w:val="128"/>
    <w:autoRedefine/>
    <w:qFormat/>
    <w:uiPriority w:val="0"/>
    <w:rPr>
      <w:rFonts w:eastAsia="宋体"/>
      <w:color w:val="000000"/>
      <w:kern w:val="24"/>
      <w:sz w:val="18"/>
      <w:lang w:bidi="ar-SA"/>
    </w:rPr>
  </w:style>
  <w:style w:type="paragraph" w:customStyle="1" w:styleId="128">
    <w:name w:val="表体"/>
    <w:basedOn w:val="1"/>
    <w:link w:val="127"/>
    <w:autoRedefine/>
    <w:qFormat/>
    <w:uiPriority w:val="0"/>
    <w:pPr>
      <w:overflowPunct w:val="0"/>
      <w:adjustRightInd w:val="0"/>
      <w:spacing w:line="300" w:lineRule="atLeast"/>
      <w:jc w:val="center"/>
      <w:textAlignment w:val="baseline"/>
    </w:pPr>
    <w:rPr>
      <w:rFonts w:ascii="Times New Roman" w:hAnsi="Times New Roman"/>
      <w:color w:val="000000"/>
      <w:kern w:val="24"/>
      <w:sz w:val="18"/>
      <w:szCs w:val="20"/>
    </w:rPr>
  </w:style>
  <w:style w:type="character" w:customStyle="1" w:styleId="129">
    <w:name w:val="正文段落 Char"/>
    <w:link w:val="130"/>
    <w:autoRedefine/>
    <w:qFormat/>
    <w:uiPriority w:val="0"/>
    <w:rPr>
      <w:rFonts w:eastAsia="宋体"/>
      <w:snapToGrid w:val="0"/>
      <w:sz w:val="24"/>
      <w:szCs w:val="24"/>
      <w:lang w:bidi="ar-SA"/>
    </w:rPr>
  </w:style>
  <w:style w:type="paragraph" w:customStyle="1" w:styleId="130">
    <w:name w:val="正文段落"/>
    <w:basedOn w:val="1"/>
    <w:link w:val="129"/>
    <w:autoRedefine/>
    <w:qFormat/>
    <w:uiPriority w:val="0"/>
    <w:pPr>
      <w:spacing w:line="360" w:lineRule="auto"/>
      <w:ind w:firstLine="480" w:firstLineChars="200"/>
      <w:jc w:val="left"/>
    </w:pPr>
    <w:rPr>
      <w:rFonts w:ascii="Times New Roman" w:hAnsi="Times New Roman"/>
      <w:snapToGrid w:val="0"/>
      <w:kern w:val="0"/>
      <w:sz w:val="24"/>
      <w:szCs w:val="24"/>
    </w:rPr>
  </w:style>
  <w:style w:type="paragraph" w:customStyle="1" w:styleId="131">
    <w:name w:val="表格文字2"/>
    <w:basedOn w:val="1"/>
    <w:autoRedefine/>
    <w:qFormat/>
    <w:uiPriority w:val="0"/>
    <w:pPr>
      <w:spacing w:before="60"/>
      <w:jc w:val="center"/>
    </w:pPr>
    <w:rPr>
      <w:rFonts w:ascii="宋体" w:hAnsi="Times New Roman"/>
      <w:sz w:val="24"/>
      <w:szCs w:val="24"/>
    </w:rPr>
  </w:style>
  <w:style w:type="paragraph" w:customStyle="1" w:styleId="132">
    <w:name w:val="AFTERTITLE"/>
    <w:basedOn w:val="1"/>
    <w:autoRedefine/>
    <w:qFormat/>
    <w:uiPriority w:val="0"/>
    <w:pPr>
      <w:widowControl/>
      <w:spacing w:afterLines="25" w:line="360" w:lineRule="atLeast"/>
      <w:ind w:firstLine="200" w:firstLineChars="200"/>
      <w:jc w:val="center"/>
    </w:pPr>
    <w:rPr>
      <w:rFonts w:ascii="Times New Roman" w:hAnsi="Times New Roman"/>
      <w:b/>
      <w:caps/>
      <w:kern w:val="0"/>
      <w:sz w:val="24"/>
      <w:szCs w:val="20"/>
      <w:lang w:val="fr-FR"/>
    </w:rPr>
  </w:style>
  <w:style w:type="paragraph" w:customStyle="1" w:styleId="133">
    <w:name w:val="报告表格"/>
    <w:basedOn w:val="1"/>
    <w:autoRedefine/>
    <w:qFormat/>
    <w:uiPriority w:val="0"/>
    <w:pPr>
      <w:autoSpaceDE w:val="0"/>
      <w:autoSpaceDN w:val="0"/>
      <w:adjustRightInd w:val="0"/>
      <w:spacing w:before="40" w:after="40" w:line="360" w:lineRule="auto"/>
      <w:ind w:firstLine="640" w:firstLineChars="200"/>
      <w:jc w:val="center"/>
    </w:pPr>
    <w:rPr>
      <w:rFonts w:ascii="Times New Roman" w:hAnsi="Times New Roman"/>
      <w:kern w:val="0"/>
      <w:szCs w:val="21"/>
    </w:rPr>
  </w:style>
  <w:style w:type="paragraph" w:customStyle="1" w:styleId="134">
    <w:name w:val="无间隔1"/>
    <w:autoRedefine/>
    <w:qFormat/>
    <w:uiPriority w:val="1"/>
    <w:rPr>
      <w:rFonts w:ascii="Times New Roman" w:hAnsi="Times New Roman" w:eastAsia="宋体" w:cs="Times New Roman"/>
      <w:sz w:val="22"/>
      <w:szCs w:val="22"/>
      <w:lang w:val="en-US" w:eastAsia="en-US" w:bidi="ar-SA"/>
    </w:rPr>
  </w:style>
  <w:style w:type="paragraph" w:customStyle="1" w:styleId="135">
    <w:name w:val="表格2"/>
    <w:basedOn w:val="1"/>
    <w:autoRedefine/>
    <w:qFormat/>
    <w:uiPriority w:val="0"/>
    <w:pPr>
      <w:spacing w:line="320" w:lineRule="exact"/>
      <w:jc w:val="center"/>
    </w:pPr>
    <w:rPr>
      <w:rFonts w:ascii="Times New Roman" w:hAnsi="Times New Roman"/>
      <w:sz w:val="24"/>
      <w:szCs w:val="20"/>
    </w:rPr>
  </w:style>
  <w:style w:type="paragraph" w:customStyle="1" w:styleId="136">
    <w:name w:val="Char1"/>
    <w:basedOn w:val="1"/>
    <w:autoRedefine/>
    <w:qFormat/>
    <w:uiPriority w:val="0"/>
    <w:pPr>
      <w:tabs>
        <w:tab w:val="right" w:leader="middleDot" w:pos="360"/>
      </w:tabs>
    </w:pPr>
    <w:rPr>
      <w:rFonts w:ascii="Times New Roman" w:hAnsi="Times New Roman" w:eastAsia="黑体"/>
      <w:sz w:val="28"/>
      <w:szCs w:val="24"/>
    </w:rPr>
  </w:style>
  <w:style w:type="paragraph" w:customStyle="1" w:styleId="137">
    <w:name w:val="样式3"/>
    <w:basedOn w:val="1"/>
    <w:autoRedefine/>
    <w:qFormat/>
    <w:uiPriority w:val="0"/>
    <w:pPr>
      <w:autoSpaceDE w:val="0"/>
      <w:autoSpaceDN w:val="0"/>
      <w:snapToGrid w:val="0"/>
      <w:spacing w:before="120" w:line="460" w:lineRule="atLeast"/>
      <w:jc w:val="center"/>
    </w:pPr>
    <w:rPr>
      <w:rFonts w:ascii="Times New Roman" w:hAnsi="Times New Roman" w:eastAsia="黑体"/>
      <w:sz w:val="28"/>
      <w:szCs w:val="24"/>
    </w:rPr>
  </w:style>
  <w:style w:type="paragraph" w:customStyle="1" w:styleId="138">
    <w:name w:val="p0"/>
    <w:basedOn w:val="1"/>
    <w:autoRedefine/>
    <w:qFormat/>
    <w:uiPriority w:val="0"/>
    <w:pPr>
      <w:widowControl/>
    </w:pPr>
    <w:rPr>
      <w:rFonts w:ascii="Times New Roman" w:hAnsi="Times New Roman"/>
      <w:kern w:val="0"/>
      <w:szCs w:val="21"/>
    </w:rPr>
  </w:style>
  <w:style w:type="paragraph" w:customStyle="1" w:styleId="139">
    <w:name w:val="B标题(2级)"/>
    <w:basedOn w:val="1"/>
    <w:autoRedefine/>
    <w:qFormat/>
    <w:uiPriority w:val="0"/>
    <w:rPr>
      <w:rFonts w:ascii="Times New Roman" w:hAnsi="Times New Roman"/>
      <w:szCs w:val="20"/>
    </w:rPr>
  </w:style>
  <w:style w:type="paragraph" w:customStyle="1" w:styleId="140">
    <w:name w:val="样式 正文文本 2正文文本报告 + 首行缩进:  2 字符"/>
    <w:basedOn w:val="1"/>
    <w:autoRedefine/>
    <w:qFormat/>
    <w:uiPriority w:val="0"/>
    <w:pPr>
      <w:spacing w:after="120" w:line="300" w:lineRule="auto"/>
      <w:ind w:firstLine="420" w:firstLineChars="200"/>
    </w:pPr>
    <w:rPr>
      <w:rFonts w:ascii="宋体" w:hAnsi="宋体"/>
      <w:szCs w:val="21"/>
    </w:rPr>
  </w:style>
  <w:style w:type="paragraph" w:customStyle="1" w:styleId="141">
    <w:name w:val="列出段落1"/>
    <w:basedOn w:val="1"/>
    <w:next w:val="1"/>
    <w:autoRedefine/>
    <w:qFormat/>
    <w:uiPriority w:val="0"/>
    <w:pPr>
      <w:spacing w:beforeLines="50" w:afterLines="50"/>
      <w:jc w:val="left"/>
    </w:pPr>
    <w:rPr>
      <w:rFonts w:eastAsia="楷体"/>
      <w:sz w:val="28"/>
    </w:rPr>
  </w:style>
  <w:style w:type="paragraph" w:customStyle="1" w:styleId="142">
    <w:name w:val="00"/>
    <w:basedOn w:val="1"/>
    <w:autoRedefine/>
    <w:qFormat/>
    <w:uiPriority w:val="99"/>
    <w:pPr>
      <w:spacing w:line="520" w:lineRule="exact"/>
      <w:ind w:firstLine="200" w:firstLineChars="200"/>
    </w:pPr>
    <w:rPr>
      <w:rFonts w:ascii="宋体" w:hAnsi="宋体"/>
      <w:sz w:val="24"/>
    </w:rPr>
  </w:style>
  <w:style w:type="paragraph" w:customStyle="1" w:styleId="143">
    <w:name w:val="Table Paragraph"/>
    <w:basedOn w:val="1"/>
    <w:autoRedefine/>
    <w:qFormat/>
    <w:uiPriority w:val="1"/>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Char Char Char Char Char Char Char Char Char Char Char Char1 Char Char Char Char Char Char Char Char Char Char Char Char Char Char Char Char Char Char1 Char 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6">
    <w:name w:val="Char4"/>
    <w:basedOn w:val="1"/>
    <w:autoRedefine/>
    <w:qFormat/>
    <w:uiPriority w:val="0"/>
    <w:pPr>
      <w:spacing w:line="360" w:lineRule="auto"/>
      <w:ind w:firstLine="200" w:firstLineChars="200"/>
    </w:pPr>
    <w:rPr>
      <w:rFonts w:ascii="宋体" w:hAnsi="宋体"/>
      <w:sz w:val="24"/>
      <w:szCs w:val="20"/>
    </w:rPr>
  </w:style>
  <w:style w:type="paragraph" w:customStyle="1" w:styleId="147">
    <w:name w:val="文本正文"/>
    <w:basedOn w:val="1"/>
    <w:autoRedefine/>
    <w:qFormat/>
    <w:uiPriority w:val="0"/>
    <w:pPr>
      <w:spacing w:line="500" w:lineRule="exact"/>
      <w:ind w:firstLine="200" w:firstLineChars="200"/>
    </w:pPr>
    <w:rPr>
      <w:rFonts w:ascii="Times New Roman" w:hAnsi="Times New Roman"/>
      <w:color w:val="000000"/>
      <w:sz w:val="24"/>
      <w:szCs w:val="20"/>
    </w:rPr>
  </w:style>
  <w:style w:type="paragraph" w:customStyle="1" w:styleId="148">
    <w:name w:val="图标题"/>
    <w:basedOn w:val="1"/>
    <w:next w:val="1"/>
    <w:autoRedefine/>
    <w:qFormat/>
    <w:uiPriority w:val="0"/>
    <w:pPr>
      <w:tabs>
        <w:tab w:val="left" w:pos="968"/>
        <w:tab w:val="center" w:pos="4153"/>
        <w:tab w:val="right" w:pos="8306"/>
      </w:tabs>
      <w:snapToGrid w:val="0"/>
      <w:spacing w:line="300" w:lineRule="exact"/>
      <w:jc w:val="center"/>
    </w:pPr>
    <w:rPr>
      <w:rFonts w:ascii="Times New Roman" w:hAnsi="Times New Roman" w:eastAsia="黑体"/>
      <w:snapToGrid w:val="0"/>
      <w:kern w:val="0"/>
      <w:sz w:val="24"/>
      <w:szCs w:val="24"/>
    </w:rPr>
  </w:style>
  <w:style w:type="paragraph" w:customStyle="1" w:styleId="149">
    <w:name w:val="Char Char Char1 Char Char Char Char Char Char Char Char Char Char Char Char Char Char Char Char"/>
    <w:basedOn w:val="1"/>
    <w:autoRedefine/>
    <w:qFormat/>
    <w:uiPriority w:val="0"/>
    <w:rPr>
      <w:rFonts w:ascii="Tahoma" w:hAnsi="Tahoma"/>
      <w:sz w:val="24"/>
      <w:szCs w:val="20"/>
    </w:rPr>
  </w:style>
  <w:style w:type="paragraph" w:customStyle="1" w:styleId="150">
    <w:name w:val="g_p_center g_t_wrap g_t_left g_t_20 g_c_pdin c0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Char"/>
    <w:basedOn w:val="1"/>
    <w:autoRedefine/>
    <w:qFormat/>
    <w:uiPriority w:val="0"/>
    <w:rPr>
      <w:rFonts w:ascii="Times New Roman" w:hAnsi="Times New Roman"/>
      <w:szCs w:val="21"/>
    </w:rPr>
  </w:style>
  <w:style w:type="paragraph" w:customStyle="1" w:styleId="152">
    <w:name w:val="book"/>
    <w:basedOn w:val="1"/>
    <w:autoRedefine/>
    <w:qFormat/>
    <w:uiPriority w:val="0"/>
    <w:pPr>
      <w:spacing w:line="360" w:lineRule="exact"/>
      <w:jc w:val="center"/>
    </w:pPr>
    <w:rPr>
      <w:rFonts w:ascii="Times New Roman" w:hAnsi="Times New Roman"/>
      <w:szCs w:val="24"/>
    </w:rPr>
  </w:style>
  <w:style w:type="paragraph" w:customStyle="1" w:styleId="153">
    <w:name w:val="中文报告书样式"/>
    <w:basedOn w:val="1"/>
    <w:autoRedefine/>
    <w:qFormat/>
    <w:uiPriority w:val="0"/>
    <w:pPr>
      <w:adjustRightInd w:val="0"/>
      <w:spacing w:line="480" w:lineRule="atLeast"/>
      <w:ind w:firstLine="482"/>
      <w:textAlignment w:val="baseline"/>
    </w:pPr>
    <w:rPr>
      <w:rFonts w:ascii="Times New Roman" w:hAnsi="Times New Roman"/>
      <w:kern w:val="24"/>
      <w:sz w:val="24"/>
      <w:szCs w:val="20"/>
    </w:rPr>
  </w:style>
  <w:style w:type="paragraph" w:customStyle="1" w:styleId="154">
    <w:name w:val="正文新 Char"/>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155">
    <w:name w:val="表格1"/>
    <w:basedOn w:val="1"/>
    <w:autoRedefine/>
    <w:qFormat/>
    <w:uiPriority w:val="0"/>
    <w:pPr>
      <w:adjustRightInd w:val="0"/>
      <w:snapToGrid w:val="0"/>
      <w:spacing w:line="360" w:lineRule="auto"/>
      <w:jc w:val="center"/>
    </w:pPr>
    <w:rPr>
      <w:rFonts w:ascii="黑体" w:hAnsi="宋体" w:eastAsia="黑体"/>
      <w:szCs w:val="21"/>
    </w:rPr>
  </w:style>
  <w:style w:type="paragraph" w:styleId="156">
    <w:name w:val="List Paragraph"/>
    <w:basedOn w:val="1"/>
    <w:autoRedefine/>
    <w:qFormat/>
    <w:uiPriority w:val="99"/>
    <w:pPr>
      <w:ind w:firstLine="420" w:firstLineChars="200"/>
    </w:pPr>
  </w:style>
  <w:style w:type="paragraph" w:customStyle="1" w:styleId="157">
    <w:name w:val="列出段落2"/>
    <w:basedOn w:val="1"/>
    <w:autoRedefine/>
    <w:qFormat/>
    <w:uiPriority w:val="34"/>
    <w:pPr>
      <w:widowControl/>
      <w:spacing w:after="200" w:line="276" w:lineRule="auto"/>
      <w:ind w:left="720"/>
      <w:contextualSpacing/>
      <w:jc w:val="left"/>
    </w:pPr>
    <w:rPr>
      <w:rFonts w:eastAsia="Calibri"/>
      <w:kern w:val="0"/>
      <w:sz w:val="22"/>
      <w:lang w:val="en-SG" w:eastAsia="en-US"/>
    </w:rPr>
  </w:style>
  <w:style w:type="paragraph" w:customStyle="1" w:styleId="158">
    <w:name w:val="表标题"/>
    <w:basedOn w:val="1"/>
    <w:next w:val="1"/>
    <w:autoRedefine/>
    <w:qFormat/>
    <w:uiPriority w:val="0"/>
    <w:pPr>
      <w:spacing w:line="520" w:lineRule="exact"/>
      <w:jc w:val="center"/>
    </w:pPr>
    <w:rPr>
      <w:rFonts w:ascii="Times New Roman" w:hAnsi="Times New Roman" w:eastAsia="黑体"/>
      <w:color w:val="000000"/>
      <w:sz w:val="24"/>
      <w:szCs w:val="24"/>
    </w:rPr>
  </w:style>
  <w:style w:type="paragraph" w:customStyle="1" w:styleId="159">
    <w:name w:val="表格文字"/>
    <w:basedOn w:val="1"/>
    <w:autoRedefine/>
    <w:qFormat/>
    <w:uiPriority w:val="0"/>
    <w:pPr>
      <w:adjustRightInd w:val="0"/>
      <w:snapToGrid w:val="0"/>
      <w:spacing w:line="280" w:lineRule="exact"/>
      <w:jc w:val="center"/>
      <w:textAlignment w:val="center"/>
    </w:pPr>
    <w:rPr>
      <w:rFonts w:ascii="Times New Roman" w:hAnsi="宋体"/>
      <w:snapToGrid w:val="0"/>
      <w:color w:val="000000"/>
      <w:szCs w:val="21"/>
      <w:lang w:val="fr-FR"/>
    </w:rPr>
  </w:style>
  <w:style w:type="paragraph" w:customStyle="1" w:styleId="160">
    <w:name w:val="报告书"/>
    <w:basedOn w:val="1"/>
    <w:autoRedefine/>
    <w:qFormat/>
    <w:uiPriority w:val="0"/>
    <w:pPr>
      <w:adjustRightInd w:val="0"/>
      <w:snapToGrid w:val="0"/>
      <w:spacing w:line="440" w:lineRule="atLeast"/>
      <w:ind w:firstLine="482"/>
      <w:textAlignment w:val="baseline"/>
    </w:pPr>
    <w:rPr>
      <w:rFonts w:ascii="宋体" w:hAnsi="Times New Roman"/>
      <w:kern w:val="24"/>
      <w:sz w:val="24"/>
      <w:szCs w:val="20"/>
    </w:rPr>
  </w:style>
  <w:style w:type="paragraph" w:customStyle="1" w:styleId="161">
    <w:name w:val="表体宋旭峰"/>
    <w:basedOn w:val="1"/>
    <w:autoRedefine/>
    <w:qFormat/>
    <w:uiPriority w:val="0"/>
    <w:pPr>
      <w:overflowPunct w:val="0"/>
      <w:adjustRightInd w:val="0"/>
      <w:spacing w:line="280" w:lineRule="exact"/>
      <w:jc w:val="center"/>
      <w:textAlignment w:val="baseline"/>
    </w:pPr>
    <w:rPr>
      <w:rFonts w:ascii="Times New Roman" w:hAnsi="Times New Roman" w:eastAsia="仿宋_GB2312"/>
      <w:color w:val="FF0000"/>
      <w:kern w:val="24"/>
      <w:szCs w:val="21"/>
    </w:rPr>
  </w:style>
  <w:style w:type="paragraph" w:customStyle="1" w:styleId="162">
    <w:name w:val="Char Char Char Char"/>
    <w:basedOn w:val="1"/>
    <w:autoRedefine/>
    <w:qFormat/>
    <w:uiPriority w:val="0"/>
    <w:pPr>
      <w:spacing w:beforeLines="20" w:line="440" w:lineRule="atLeast"/>
    </w:pPr>
    <w:rPr>
      <w:rFonts w:ascii="Times New Roman" w:hAnsi="Times New Roman"/>
      <w:sz w:val="24"/>
      <w:szCs w:val="24"/>
    </w:rPr>
  </w:style>
  <w:style w:type="paragraph" w:customStyle="1" w:styleId="163">
    <w:name w:val="Char2"/>
    <w:basedOn w:val="1"/>
    <w:autoRedefine/>
    <w:qFormat/>
    <w:uiPriority w:val="0"/>
    <w:pPr>
      <w:spacing w:line="360" w:lineRule="auto"/>
    </w:pPr>
    <w:rPr>
      <w:rFonts w:ascii="宋体" w:hAnsi="宋体" w:cs="宋体"/>
      <w:sz w:val="24"/>
      <w:szCs w:val="24"/>
    </w:rPr>
  </w:style>
  <w:style w:type="paragraph" w:customStyle="1" w:styleId="164">
    <w:name w:val="默认段落字体 Para Char"/>
    <w:basedOn w:val="1"/>
    <w:autoRedefine/>
    <w:qFormat/>
    <w:uiPriority w:val="0"/>
    <w:pPr>
      <w:spacing w:line="360" w:lineRule="auto"/>
    </w:pPr>
    <w:rPr>
      <w:rFonts w:ascii="宋体" w:hAnsi="宋体" w:cs="宋体"/>
      <w:sz w:val="24"/>
      <w:szCs w:val="24"/>
    </w:rPr>
  </w:style>
  <w:style w:type="paragraph" w:customStyle="1" w:styleId="165">
    <w:name w:val="表格 32"/>
    <w:basedOn w:val="1"/>
    <w:autoRedefine/>
    <w:qFormat/>
    <w:uiPriority w:val="0"/>
    <w:pPr>
      <w:autoSpaceDE w:val="0"/>
      <w:autoSpaceDN w:val="0"/>
      <w:adjustRightInd w:val="0"/>
      <w:jc w:val="center"/>
      <w:textAlignment w:val="baseline"/>
    </w:pPr>
    <w:rPr>
      <w:rFonts w:ascii="宋体" w:hAnsi="Impact"/>
      <w:kern w:val="24"/>
      <w:sz w:val="24"/>
      <w:szCs w:val="20"/>
    </w:rPr>
  </w:style>
  <w:style w:type="paragraph" w:customStyle="1" w:styleId="166">
    <w:name w:val="表中文字1"/>
    <w:autoRedefine/>
    <w:qFormat/>
    <w:uiPriority w:val="0"/>
    <w:pPr>
      <w:widowControl w:val="0"/>
      <w:adjustRightInd w:val="0"/>
      <w:snapToGrid w:val="0"/>
      <w:spacing w:line="300" w:lineRule="auto"/>
      <w:jc w:val="center"/>
    </w:pPr>
    <w:rPr>
      <w:rFonts w:ascii="Times New Roman" w:hAnsi="Times New Roman" w:eastAsia="宋体" w:cs="宋体"/>
      <w:color w:val="000000"/>
      <w:kern w:val="2"/>
      <w:sz w:val="21"/>
      <w:szCs w:val="21"/>
      <w:lang w:val="en-US" w:eastAsia="zh-CN" w:bidi="ar-SA"/>
    </w:rPr>
  </w:style>
  <w:style w:type="paragraph" w:customStyle="1" w:styleId="167">
    <w:name w:val="样式 标题 2标题节第一层条H2Heading 2 HiddenHeading 2 CCBSPIM22nd lev..."/>
    <w:basedOn w:val="6"/>
    <w:autoRedefine/>
    <w:qFormat/>
    <w:uiPriority w:val="0"/>
    <w:pPr>
      <w:tabs>
        <w:tab w:val="left" w:pos="425"/>
      </w:tabs>
      <w:spacing w:before="120" w:after="120" w:line="520" w:lineRule="exact"/>
      <w:ind w:left="425" w:hanging="425"/>
    </w:pPr>
    <w:rPr>
      <w:rFonts w:ascii="黑体" w:hAnsi="Arial" w:cs="宋体"/>
      <w:bCs w:val="0"/>
      <w:kern w:val="0"/>
      <w:sz w:val="28"/>
      <w:szCs w:val="20"/>
    </w:rPr>
  </w:style>
  <w:style w:type="paragraph" w:customStyle="1" w:styleId="168">
    <w:name w:val="msolist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3 Char"/>
    <w:basedOn w:val="1"/>
    <w:next w:val="1"/>
    <w:autoRedefine/>
    <w:qFormat/>
    <w:uiPriority w:val="0"/>
    <w:pPr>
      <w:spacing w:line="360" w:lineRule="auto"/>
      <w:ind w:firstLine="200" w:firstLineChars="200"/>
    </w:pPr>
    <w:rPr>
      <w:rFonts w:ascii="宋体" w:hAnsi="宋体" w:eastAsia="汉鼎简书宋" w:cs="宋体"/>
      <w:sz w:val="24"/>
      <w:szCs w:val="24"/>
    </w:rPr>
  </w:style>
  <w:style w:type="paragraph" w:customStyle="1" w:styleId="170">
    <w:name w:val="报告书表格"/>
    <w:basedOn w:val="1"/>
    <w:autoRedefine/>
    <w:qFormat/>
    <w:uiPriority w:val="0"/>
    <w:pPr>
      <w:spacing w:line="240" w:lineRule="atLeast"/>
      <w:jc w:val="center"/>
      <w:textAlignment w:val="baseline"/>
    </w:pPr>
    <w:rPr>
      <w:rFonts w:ascii="Times New Roman" w:hAnsi="Times New Roman"/>
      <w:kern w:val="0"/>
      <w:szCs w:val="20"/>
    </w:rPr>
  </w:style>
  <w:style w:type="paragraph" w:customStyle="1" w:styleId="171">
    <w:name w:val="表格文字1"/>
    <w:basedOn w:val="1"/>
    <w:next w:val="1"/>
    <w:autoRedefine/>
    <w:qFormat/>
    <w:uiPriority w:val="0"/>
    <w:pPr>
      <w:adjustRightInd w:val="0"/>
      <w:snapToGrid w:val="0"/>
      <w:spacing w:line="300" w:lineRule="auto"/>
      <w:jc w:val="center"/>
    </w:pPr>
  </w:style>
  <w:style w:type="paragraph" w:customStyle="1" w:styleId="172">
    <w:name w:val="表中文字"/>
    <w:basedOn w:val="1"/>
    <w:autoRedefine/>
    <w:qFormat/>
    <w:uiPriority w:val="0"/>
    <w:pPr>
      <w:spacing w:line="280" w:lineRule="exact"/>
      <w:jc w:val="center"/>
    </w:pPr>
    <w:rPr>
      <w:rFonts w:ascii="宋体" w:hAnsi="宋体"/>
      <w:sz w:val="18"/>
      <w:szCs w:val="18"/>
    </w:rPr>
  </w:style>
  <w:style w:type="paragraph" w:customStyle="1" w:styleId="173">
    <w:name w:val="表中"/>
    <w:autoRedefine/>
    <w:qFormat/>
    <w:uiPriority w:val="0"/>
    <w:pPr>
      <w:widowControl w:val="0"/>
      <w:jc w:val="center"/>
    </w:pPr>
    <w:rPr>
      <w:rFonts w:ascii="Times New Roman" w:hAnsi="Times New Roman" w:eastAsia="宋体" w:cs="Times New Roman"/>
      <w:kern w:val="2"/>
      <w:sz w:val="18"/>
      <w:szCs w:val="18"/>
      <w:lang w:val="en-US" w:eastAsia="zh-CN" w:bidi="ar-SA"/>
    </w:rPr>
  </w:style>
  <w:style w:type="paragraph" w:customStyle="1" w:styleId="174">
    <w:name w:val="封 公司 二"/>
    <w:autoRedefine/>
    <w:qFormat/>
    <w:uiPriority w:val="0"/>
    <w:pPr>
      <w:spacing w:after="156"/>
      <w:jc w:val="center"/>
    </w:pPr>
    <w:rPr>
      <w:rFonts w:ascii="Arial" w:hAnsi="Arial" w:eastAsia="黑体" w:cs="宋体"/>
      <w:b/>
      <w:bCs/>
      <w:color w:val="000000"/>
      <w:kern w:val="2"/>
      <w:sz w:val="52"/>
      <w:szCs w:val="52"/>
      <w:lang w:val="en-US" w:eastAsia="zh-CN" w:bidi="ar-SA"/>
    </w:rPr>
  </w:style>
  <w:style w:type="paragraph" w:customStyle="1" w:styleId="175">
    <w:name w:val="表头1"/>
    <w:basedOn w:val="1"/>
    <w:next w:val="1"/>
    <w:autoRedefine/>
    <w:qFormat/>
    <w:uiPriority w:val="0"/>
    <w:pPr>
      <w:adjustRightInd w:val="0"/>
      <w:snapToGrid w:val="0"/>
      <w:jc w:val="center"/>
    </w:pPr>
    <w:rPr>
      <w:b/>
      <w:sz w:val="24"/>
    </w:rPr>
  </w:style>
  <w:style w:type="paragraph" w:customStyle="1" w:styleId="176">
    <w:name w:val="表头字体宋"/>
    <w:basedOn w:val="1"/>
    <w:autoRedefine/>
    <w:qFormat/>
    <w:uiPriority w:val="0"/>
    <w:pPr>
      <w:spacing w:line="500" w:lineRule="exact"/>
      <w:jc w:val="center"/>
    </w:pPr>
    <w:rPr>
      <w:rFonts w:ascii="宋体" w:hAnsi="宋体" w:cs="宋体"/>
      <w:b/>
      <w:bCs/>
      <w:sz w:val="24"/>
      <w:szCs w:val="20"/>
    </w:rPr>
  </w:style>
  <w:style w:type="paragraph" w:customStyle="1" w:styleId="177">
    <w:name w:val="1 Char"/>
    <w:basedOn w:val="1"/>
    <w:autoRedefine/>
    <w:qFormat/>
    <w:uiPriority w:val="0"/>
    <w:rPr>
      <w:rFonts w:ascii="Times New Roman" w:hAnsi="Times New Roman"/>
      <w:sz w:val="24"/>
      <w:szCs w:val="24"/>
    </w:rPr>
  </w:style>
  <w:style w:type="paragraph" w:customStyle="1" w:styleId="178">
    <w:name w:val="表格内容1"/>
    <w:basedOn w:val="1"/>
    <w:autoRedefine/>
    <w:qFormat/>
    <w:uiPriority w:val="0"/>
    <w:pPr>
      <w:snapToGrid w:val="0"/>
      <w:jc w:val="center"/>
    </w:pPr>
    <w:rPr>
      <w:rFonts w:ascii="Times New Roman" w:hAnsi="Times New Roman" w:cs="宋体"/>
      <w:sz w:val="20"/>
      <w:szCs w:val="20"/>
    </w:rPr>
  </w:style>
  <w:style w:type="paragraph" w:customStyle="1" w:styleId="179">
    <w:name w:val="正文(首行缩进)"/>
    <w:basedOn w:val="1"/>
    <w:autoRedefine/>
    <w:qFormat/>
    <w:uiPriority w:val="0"/>
    <w:pPr>
      <w:tabs>
        <w:tab w:val="left" w:pos="4584"/>
      </w:tabs>
      <w:adjustRightInd w:val="0"/>
      <w:snapToGrid w:val="0"/>
      <w:spacing w:line="360" w:lineRule="auto"/>
      <w:ind w:firstLine="200" w:firstLineChars="200"/>
    </w:pPr>
    <w:rPr>
      <w:rFonts w:ascii="Times New Roman" w:hAnsi="Times New Roman"/>
      <w:bCs/>
      <w:snapToGrid w:val="0"/>
      <w:kern w:val="0"/>
      <w:sz w:val="24"/>
      <w:szCs w:val="24"/>
    </w:rPr>
  </w:style>
  <w:style w:type="paragraph" w:customStyle="1" w:styleId="180">
    <w:name w:val="p16"/>
    <w:basedOn w:val="1"/>
    <w:autoRedefine/>
    <w:qFormat/>
    <w:uiPriority w:val="0"/>
    <w:pPr>
      <w:widowControl/>
      <w:snapToGrid w:val="0"/>
      <w:spacing w:line="360" w:lineRule="auto"/>
      <w:ind w:firstLine="420"/>
    </w:pPr>
    <w:rPr>
      <w:rFonts w:ascii="Times New Roman" w:hAnsi="Times New Roman"/>
      <w:kern w:val="0"/>
      <w:sz w:val="24"/>
      <w:szCs w:val="24"/>
    </w:rPr>
  </w:style>
  <w:style w:type="paragraph" w:customStyle="1" w:styleId="181">
    <w:name w:val="maintext"/>
    <w:basedOn w:val="1"/>
    <w:autoRedefine/>
    <w:qFormat/>
    <w:uiPriority w:val="0"/>
    <w:pPr>
      <w:widowControl/>
      <w:spacing w:before="100" w:beforeAutospacing="1" w:after="100" w:afterAutospacing="1"/>
      <w:jc w:val="left"/>
    </w:pPr>
    <w:rPr>
      <w:rFonts w:ascii="Verdana" w:hAnsi="Verdana" w:eastAsia="Times New Roman"/>
      <w:color w:val="000000"/>
      <w:kern w:val="0"/>
      <w:sz w:val="14"/>
      <w:szCs w:val="14"/>
      <w:lang w:eastAsia="en-US"/>
    </w:rPr>
  </w:style>
  <w:style w:type="character" w:customStyle="1" w:styleId="182">
    <w:name w:val="表格标题样式 Char"/>
    <w:link w:val="183"/>
    <w:autoRedefine/>
    <w:qFormat/>
    <w:uiPriority w:val="0"/>
    <w:rPr>
      <w:rFonts w:eastAsia="黑体"/>
      <w:sz w:val="24"/>
    </w:rPr>
  </w:style>
  <w:style w:type="paragraph" w:customStyle="1" w:styleId="183">
    <w:name w:val="表格标题样式"/>
    <w:basedOn w:val="1"/>
    <w:link w:val="182"/>
    <w:autoRedefine/>
    <w:qFormat/>
    <w:uiPriority w:val="0"/>
    <w:pPr>
      <w:spacing w:line="360" w:lineRule="auto"/>
      <w:jc w:val="center"/>
    </w:pPr>
    <w:rPr>
      <w:rFonts w:ascii="Times New Roman" w:hAnsi="Times New Roman" w:eastAsia="黑体"/>
      <w:kern w:val="0"/>
      <w:sz w:val="24"/>
      <w:szCs w:val="20"/>
    </w:rPr>
  </w:style>
  <w:style w:type="character" w:customStyle="1" w:styleId="184">
    <w:name w:val="fontstyle11"/>
    <w:basedOn w:val="45"/>
    <w:autoRedefine/>
    <w:qFormat/>
    <w:uiPriority w:val="0"/>
    <w:rPr>
      <w:rFonts w:hint="default" w:ascii="TimesNewRomanPSMT" w:hAnsi="TimesNewRomanPSMT"/>
      <w:color w:val="000000"/>
      <w:sz w:val="24"/>
      <w:szCs w:val="24"/>
    </w:rPr>
  </w:style>
  <w:style w:type="character" w:customStyle="1" w:styleId="185">
    <w:name w:val="font51"/>
    <w:basedOn w:val="45"/>
    <w:autoRedefine/>
    <w:qFormat/>
    <w:uiPriority w:val="0"/>
    <w:rPr>
      <w:rFonts w:hint="eastAsia" w:ascii="仿宋" w:hAnsi="仿宋" w:eastAsia="仿宋" w:cs="仿宋"/>
      <w:color w:val="000000"/>
      <w:sz w:val="24"/>
      <w:szCs w:val="24"/>
      <w:u w:val="none"/>
      <w:vertAlign w:val="superscript"/>
    </w:rPr>
  </w:style>
  <w:style w:type="paragraph" w:customStyle="1" w:styleId="186">
    <w:name w:val="正文3"/>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3.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19"/>
    <customShpInfo spid="_x0000_s4118"/>
    <customShpInfo spid="_x0000_s4105"/>
    <customShpInfo spid="_x0000_s4098"/>
    <customShpInfo spid="_x0000_s4117"/>
    <customShpInfo spid="_x0000_s4115"/>
    <customShpInfo spid="_x0000_s4116"/>
    <customShpInfo spid="_x0000_s4114"/>
    <customShpInfo spid="_x0000_s4113"/>
    <customShpInfo spid="_x0000_s4112"/>
    <customShpInfo spid="_x0000_s4111"/>
    <customShpInfo spid="_x0000_s4110"/>
    <customShpInfo spid="_x0000_s4108"/>
    <customShpInfo spid="_x0000_s4109"/>
    <customShpInfo spid="_x0000_s4107"/>
    <customShpInfo spid="_x0000_s4101"/>
    <customShpInfo spid="_x0000_s4103"/>
    <customShpInfo spid="_x0000_s4102"/>
    <customShpInfo spid="_x0000_s4099"/>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hnzz</Company>
  <Pages>43</Pages>
  <Words>19598</Words>
  <Characters>24093</Characters>
  <Lines>197</Lines>
  <Paragraphs>55</Paragraphs>
  <TotalTime>1</TotalTime>
  <ScaleCrop>false</ScaleCrop>
  <LinksUpToDate>false</LinksUpToDate>
  <CharactersWithSpaces>24610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2022-01-09T13:13:00Z</dcterms:created>
  <dc:creator>wcm</dc:creator>
  <cp:lastModifiedBy>呦~呦</cp:lastModifiedBy>
  <cp:lastPrinted>2020-12-16T02:24:00Z</cp:lastPrinted>
  <dcterms:modified xsi:type="dcterms:W3CDTF">2024-01-23T01:45:19Z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DB7383ED566E43239781744D07C323CC_12</vt:lpwstr>
  </property>
</Properties>
</file>